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9866"/>
      </w:tblGrid>
      <w:tr w:rsidR="00EA78E7">
        <w:trPr>
          <w:trHeight w:val="1548"/>
        </w:trPr>
        <w:tc>
          <w:tcPr>
            <w:tcW w:w="10402" w:type="dxa"/>
            <w:tcBorders>
              <w:top w:val="nil"/>
              <w:left w:val="nil"/>
              <w:bottom w:val="nil"/>
              <w:right w:val="nil"/>
            </w:tcBorders>
          </w:tcPr>
          <w:p w:rsidR="00EA78E7" w:rsidRDefault="00EA78E7">
            <w:pPr>
              <w:pStyle w:val="a4"/>
              <w:spacing w:line="550" w:lineRule="exact"/>
              <w:rPr>
                <w:rFonts w:ascii="仿宋" w:eastAsia="仿宋" w:hAnsi="仿宋" w:cs="仿宋"/>
                <w:b/>
                <w:bCs/>
                <w:color w:val="FF0000"/>
                <w:sz w:val="22"/>
                <w:szCs w:val="22"/>
              </w:rPr>
            </w:pPr>
            <w:bookmarkStart w:id="0" w:name="_GoBack"/>
            <w:bookmarkEnd w:id="0"/>
          </w:p>
        </w:tc>
      </w:tr>
      <w:tr w:rsidR="00EA78E7">
        <w:trPr>
          <w:trHeight w:val="4945"/>
        </w:trPr>
        <w:tc>
          <w:tcPr>
            <w:tcW w:w="10402" w:type="dxa"/>
            <w:tcBorders>
              <w:top w:val="nil"/>
              <w:left w:val="nil"/>
              <w:bottom w:val="nil"/>
              <w:right w:val="nil"/>
            </w:tcBorders>
            <w:vAlign w:val="center"/>
          </w:tcPr>
          <w:p w:rsidR="00EA78E7" w:rsidRDefault="00A71678">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年度江苏理工学院单位预算公开</w:t>
            </w:r>
          </w:p>
        </w:tc>
      </w:tr>
    </w:tbl>
    <w:p w:rsidR="00EA78E7" w:rsidRDefault="00EA78E7">
      <w:pPr>
        <w:ind w:rightChars="129" w:right="284"/>
        <w:jc w:val="both"/>
        <w:rPr>
          <w:rFonts w:ascii="宋体" w:eastAsia="宋体" w:hAnsi="宋体" w:cs="宋体"/>
          <w:b/>
          <w:bCs/>
          <w:sz w:val="52"/>
          <w:szCs w:val="52"/>
        </w:rPr>
        <w:sectPr w:rsidR="00EA78E7">
          <w:headerReference w:type="default" r:id="rId7"/>
          <w:headerReference w:type="first" r:id="rId8"/>
          <w:pgSz w:w="11906" w:h="16838"/>
          <w:pgMar w:top="1580" w:right="1020" w:bottom="770" w:left="1020" w:header="170" w:footer="280" w:gutter="0"/>
          <w:cols w:space="720"/>
          <w:formProt w:val="0"/>
          <w:titlePg/>
          <w:docGrid w:linePitch="100"/>
        </w:sectPr>
      </w:pPr>
    </w:p>
    <w:p w:rsidR="00EA78E7" w:rsidRDefault="00EA78E7">
      <w:pPr>
        <w:pStyle w:val="a4"/>
        <w:spacing w:before="4"/>
        <w:rPr>
          <w:rFonts w:ascii="华文仿宋" w:eastAsia="华文仿宋" w:hAnsi="华文仿宋" w:cs="仿宋"/>
          <w:sz w:val="10"/>
        </w:rPr>
      </w:pPr>
    </w:p>
    <w:p w:rsidR="00EA78E7" w:rsidRDefault="00A71678">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EA78E7" w:rsidRDefault="00EA78E7">
      <w:pPr>
        <w:pStyle w:val="a4"/>
        <w:snapToGrid w:val="0"/>
        <w:spacing w:before="7"/>
        <w:rPr>
          <w:rFonts w:ascii="仿宋" w:eastAsia="仿宋" w:hAnsi="仿宋" w:cs="仿宋"/>
          <w:sz w:val="27"/>
        </w:rPr>
      </w:pP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EA78E7" w:rsidRDefault="00A7167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EA78E7" w:rsidRDefault="00A7167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EA78E7" w:rsidRDefault="00A71678">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EA78E7" w:rsidRDefault="00A71678">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2023</w:t>
      </w:r>
      <w:r>
        <w:rPr>
          <w:rFonts w:ascii="仿宋" w:eastAsia="仿宋" w:hAnsi="仿宋" w:cs="仿宋" w:hint="eastAsia"/>
          <w:b/>
          <w:bCs/>
          <w:lang w:val="en-US"/>
        </w:rPr>
        <w:t>年度</w:t>
      </w:r>
      <w:r>
        <w:rPr>
          <w:rFonts w:ascii="仿宋" w:eastAsia="仿宋" w:hAnsi="仿宋" w:cs="仿宋"/>
          <w:b/>
        </w:rPr>
        <w:t>单位预算表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EA78E7" w:rsidRDefault="00A71678">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EA78E7" w:rsidRDefault="00A71678">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2023</w:t>
      </w:r>
      <w:r>
        <w:rPr>
          <w:rFonts w:ascii="仿宋" w:eastAsia="仿宋" w:hAnsi="仿宋" w:cs="仿宋" w:hint="eastAsia"/>
          <w:b/>
          <w:bCs/>
          <w:color w:val="000000"/>
          <w:sz w:val="30"/>
          <w:szCs w:val="30"/>
          <w:lang w:val="en-US" w:bidi="ar"/>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w:t>
      </w:r>
      <w:r>
        <w:rPr>
          <w:rFonts w:ascii="仿宋" w:eastAsia="仿宋" w:hAnsi="仿宋" w:cs="仿宋" w:hint="eastAsia"/>
          <w:b/>
          <w:bCs/>
          <w:color w:val="000000"/>
          <w:sz w:val="30"/>
          <w:szCs w:val="30"/>
          <w:lang w:val="en-US" w:bidi="ar"/>
        </w:rPr>
        <w:t>情况说明</w:t>
      </w:r>
    </w:p>
    <w:p w:rsidR="00EA78E7" w:rsidRDefault="00A71678">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EA78E7" w:rsidRDefault="00EA78E7">
      <w:pPr>
        <w:pStyle w:val="a4"/>
        <w:snapToGrid w:val="0"/>
        <w:spacing w:line="312" w:lineRule="auto"/>
        <w:ind w:leftChars="300" w:left="669" w:right="2414" w:hanging="9"/>
        <w:jc w:val="both"/>
        <w:rPr>
          <w:rFonts w:ascii="仿宋" w:eastAsia="仿宋" w:hAnsi="仿宋" w:cs="仿宋"/>
        </w:rPr>
        <w:sectPr w:rsidR="00EA78E7">
          <w:footerReference w:type="default" r:id="rId9"/>
          <w:pgSz w:w="11906" w:h="16838"/>
          <w:pgMar w:top="1580" w:right="1020" w:bottom="770" w:left="1020" w:header="170" w:footer="280" w:gutter="0"/>
          <w:pgNumType w:fmt="numberInDash" w:start="1"/>
          <w:cols w:space="720"/>
          <w:formProt w:val="0"/>
          <w:docGrid w:linePitch="100"/>
        </w:sectPr>
      </w:pPr>
    </w:p>
    <w:p w:rsidR="00EA78E7" w:rsidRDefault="00EA78E7">
      <w:pPr>
        <w:pStyle w:val="a4"/>
        <w:spacing w:before="1"/>
        <w:rPr>
          <w:rFonts w:ascii="华文仿宋" w:eastAsia="华文仿宋" w:hAnsi="华文仿宋" w:cs="仿宋"/>
          <w:sz w:val="14"/>
        </w:rPr>
      </w:pPr>
    </w:p>
    <w:p w:rsidR="00EA78E7" w:rsidRDefault="00A71678">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EA78E7" w:rsidRDefault="00EA78E7">
      <w:pPr>
        <w:ind w:rightChars="229" w:right="504"/>
        <w:jc w:val="both"/>
      </w:pPr>
    </w:p>
    <w:p w:rsidR="00EA78E7" w:rsidRDefault="00A7167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江苏理工学院是省属全日制普通高校，地处被誉为</w:t>
      </w:r>
      <w:r>
        <w:rPr>
          <w:rFonts w:ascii="仿宋" w:eastAsia="仿宋" w:hAnsi="仿宋" w:cs="仿宋"/>
        </w:rPr>
        <w:t>“</w:t>
      </w:r>
      <w:r>
        <w:rPr>
          <w:rFonts w:ascii="仿宋" w:eastAsia="仿宋" w:hAnsi="仿宋" w:cs="仿宋"/>
        </w:rPr>
        <w:t>千载读书地，现代创新城</w:t>
      </w:r>
      <w:r>
        <w:rPr>
          <w:rFonts w:ascii="仿宋" w:eastAsia="仿宋" w:hAnsi="仿宋" w:cs="仿宋"/>
        </w:rPr>
        <w:t>”</w:t>
      </w:r>
      <w:r>
        <w:rPr>
          <w:rFonts w:ascii="仿宋" w:eastAsia="仿宋" w:hAnsi="仿宋" w:cs="仿宋"/>
        </w:rPr>
        <w:t>的国家历史文化名城、长江三角洲重要的现代制造业基地</w:t>
      </w:r>
      <w:r>
        <w:rPr>
          <w:rFonts w:ascii="仿宋" w:eastAsia="仿宋" w:hAnsi="仿宋" w:cs="仿宋"/>
        </w:rPr>
        <w:t>——</w:t>
      </w:r>
      <w:r>
        <w:rPr>
          <w:rFonts w:ascii="仿宋" w:eastAsia="仿宋" w:hAnsi="仿宋" w:cs="仿宋"/>
        </w:rPr>
        <w:t>江苏省常州市。学校创建于</w:t>
      </w:r>
      <w:r>
        <w:rPr>
          <w:rFonts w:ascii="仿宋" w:eastAsia="仿宋" w:hAnsi="仿宋" w:cs="仿宋"/>
        </w:rPr>
        <w:t>1984</w:t>
      </w:r>
      <w:r>
        <w:rPr>
          <w:rFonts w:ascii="仿宋" w:eastAsia="仿宋" w:hAnsi="仿宋" w:cs="仿宋"/>
        </w:rPr>
        <w:t>年，历经常州职业师范学院、常州技术师范学院、江苏技术师范学院等时期，</w:t>
      </w:r>
      <w:r>
        <w:rPr>
          <w:rFonts w:ascii="仿宋" w:eastAsia="仿宋" w:hAnsi="仿宋" w:cs="仿宋"/>
        </w:rPr>
        <w:t>2012</w:t>
      </w:r>
      <w:r>
        <w:rPr>
          <w:rFonts w:ascii="仿宋" w:eastAsia="仿宋" w:hAnsi="仿宋" w:cs="仿宋"/>
        </w:rPr>
        <w:t>年更名为江苏理工学院。学校是硕士学位授予单位、教育部本科教学工作水平评估优秀单位、全国首批职教师资培训重点建设基地和江苏省首批决策咨询研究基地。</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学校各类校舍建筑面积近</w:t>
      </w:r>
      <w:r>
        <w:rPr>
          <w:rFonts w:ascii="仿宋" w:eastAsia="仿宋" w:hAnsi="仿宋" w:cs="仿宋"/>
        </w:rPr>
        <w:t>50</w:t>
      </w:r>
      <w:r>
        <w:rPr>
          <w:rFonts w:ascii="仿宋" w:eastAsia="仿宋" w:hAnsi="仿宋" w:cs="仿宋"/>
        </w:rPr>
        <w:t>万平方米，教学仪器设备总值近</w:t>
      </w:r>
      <w:r>
        <w:rPr>
          <w:rFonts w:ascii="仿宋" w:eastAsia="仿宋" w:hAnsi="仿宋" w:cs="仿宋"/>
        </w:rPr>
        <w:t>3</w:t>
      </w:r>
      <w:r>
        <w:rPr>
          <w:rFonts w:ascii="仿宋" w:eastAsia="仿宋" w:hAnsi="仿宋" w:cs="仿宋"/>
        </w:rPr>
        <w:t>亿元，中外文藏书</w:t>
      </w:r>
      <w:r>
        <w:rPr>
          <w:rFonts w:ascii="仿宋" w:eastAsia="仿宋" w:hAnsi="仿宋" w:cs="仿宋"/>
        </w:rPr>
        <w:t>190</w:t>
      </w:r>
      <w:r>
        <w:rPr>
          <w:rFonts w:ascii="仿宋" w:eastAsia="仿宋" w:hAnsi="仿宋" w:cs="仿宋"/>
        </w:rPr>
        <w:t>万余册。设有机械工程学院、电气信息工程学院</w:t>
      </w:r>
      <w:r>
        <w:rPr>
          <w:rFonts w:ascii="仿宋" w:eastAsia="仿宋" w:hAnsi="仿宋" w:cs="仿宋"/>
        </w:rPr>
        <w:t>、资源与环境工程学院、教育学院、职业教育学部等</w:t>
      </w:r>
      <w:r>
        <w:rPr>
          <w:rFonts w:ascii="仿宋" w:eastAsia="仿宋" w:hAnsi="仿宋" w:cs="仿宋"/>
        </w:rPr>
        <w:t>20</w:t>
      </w:r>
      <w:r>
        <w:rPr>
          <w:rFonts w:ascii="仿宋" w:eastAsia="仿宋" w:hAnsi="仿宋" w:cs="仿宋"/>
        </w:rPr>
        <w:t>多个教学科研单位，建有工业互联网产业学院、数智化产业学院、智能网联汽车产业学院、动力及储能电池产业学院、电池材料产业学院等多个产业学院，开设</w:t>
      </w:r>
      <w:r>
        <w:rPr>
          <w:rFonts w:ascii="仿宋" w:eastAsia="仿宋" w:hAnsi="仿宋" w:cs="仿宋"/>
        </w:rPr>
        <w:t>62</w:t>
      </w:r>
      <w:r>
        <w:rPr>
          <w:rFonts w:ascii="仿宋" w:eastAsia="仿宋" w:hAnsi="仿宋" w:cs="仿宋"/>
        </w:rPr>
        <w:t>个本科专业，招收教育、机械、资源与环境硕士研究生，形成了以工科为主、多学科协调发展的办学格局。</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学校现有全日制在校本科生</w:t>
      </w:r>
      <w:r>
        <w:rPr>
          <w:rFonts w:ascii="仿宋" w:eastAsia="仿宋" w:hAnsi="仿宋" w:cs="仿宋"/>
        </w:rPr>
        <w:t>20000</w:t>
      </w:r>
      <w:r>
        <w:rPr>
          <w:rFonts w:ascii="仿宋" w:eastAsia="仿宋" w:hAnsi="仿宋" w:cs="仿宋"/>
        </w:rPr>
        <w:t>余人（含留学生）、硕士研究生</w:t>
      </w:r>
      <w:r>
        <w:rPr>
          <w:rFonts w:ascii="仿宋" w:eastAsia="仿宋" w:hAnsi="仿宋" w:cs="仿宋"/>
        </w:rPr>
        <w:t>900</w:t>
      </w:r>
      <w:r>
        <w:rPr>
          <w:rFonts w:ascii="仿宋" w:eastAsia="仿宋" w:hAnsi="仿宋" w:cs="仿宋"/>
        </w:rPr>
        <w:t>余人。现有教职工</w:t>
      </w:r>
      <w:r>
        <w:rPr>
          <w:rFonts w:ascii="仿宋" w:eastAsia="仿宋" w:hAnsi="仿宋" w:cs="仿宋"/>
        </w:rPr>
        <w:t>1500</w:t>
      </w:r>
      <w:r>
        <w:rPr>
          <w:rFonts w:ascii="仿宋" w:eastAsia="仿宋" w:hAnsi="仿宋" w:cs="仿宋"/>
        </w:rPr>
        <w:t>余人，专任教师近</w:t>
      </w:r>
      <w:r>
        <w:rPr>
          <w:rFonts w:ascii="仿宋" w:eastAsia="仿宋" w:hAnsi="仿宋" w:cs="仿宋"/>
        </w:rPr>
        <w:t>1200</w:t>
      </w:r>
      <w:r>
        <w:rPr>
          <w:rFonts w:ascii="仿宋" w:eastAsia="仿宋" w:hAnsi="仿宋" w:cs="仿宋"/>
        </w:rPr>
        <w:t>人，其中高级职称教师</w:t>
      </w:r>
      <w:r>
        <w:rPr>
          <w:rFonts w:ascii="仿宋" w:eastAsia="仿宋" w:hAnsi="仿宋" w:cs="仿宋"/>
        </w:rPr>
        <w:t>700</w:t>
      </w:r>
      <w:r>
        <w:rPr>
          <w:rFonts w:ascii="仿宋" w:eastAsia="仿宋" w:hAnsi="仿宋" w:cs="仿宋"/>
        </w:rPr>
        <w:t>余人、博士学位教师</w:t>
      </w:r>
      <w:r>
        <w:rPr>
          <w:rFonts w:ascii="仿宋" w:eastAsia="仿宋" w:hAnsi="仿宋" w:cs="仿宋"/>
        </w:rPr>
        <w:t>500</w:t>
      </w:r>
      <w:r>
        <w:rPr>
          <w:rFonts w:ascii="仿宋" w:eastAsia="仿宋" w:hAnsi="仿宋" w:cs="仿宋"/>
        </w:rPr>
        <w:t>余人，博硕研究生导师</w:t>
      </w:r>
      <w:r>
        <w:rPr>
          <w:rFonts w:ascii="仿宋" w:eastAsia="仿宋" w:hAnsi="仿宋" w:cs="仿宋"/>
        </w:rPr>
        <w:t>200</w:t>
      </w:r>
      <w:r>
        <w:rPr>
          <w:rFonts w:ascii="仿宋" w:eastAsia="仿宋" w:hAnsi="仿宋" w:cs="仿宋"/>
        </w:rPr>
        <w:t>余人，聘请院士、国家高层次人才</w:t>
      </w:r>
      <w:r>
        <w:rPr>
          <w:rFonts w:ascii="仿宋" w:eastAsia="仿宋" w:hAnsi="仿宋" w:cs="仿宋"/>
        </w:rPr>
        <w:t>特殊支持计划等知名专家学者</w:t>
      </w:r>
      <w:r>
        <w:rPr>
          <w:rFonts w:ascii="仿宋" w:eastAsia="仿宋" w:hAnsi="仿宋" w:cs="仿宋"/>
        </w:rPr>
        <w:t>150</w:t>
      </w:r>
      <w:r>
        <w:rPr>
          <w:rFonts w:ascii="仿宋" w:eastAsia="仿宋" w:hAnsi="仿宋" w:cs="仿宋"/>
        </w:rPr>
        <w:t>余人担任客座教授、特聘教授和产业</w:t>
      </w:r>
      <w:r>
        <w:rPr>
          <w:rFonts w:ascii="仿宋" w:eastAsia="仿宋" w:hAnsi="仿宋" w:cs="仿宋"/>
        </w:rPr>
        <w:lastRenderedPageBreak/>
        <w:t>教授。现有院士</w:t>
      </w:r>
      <w:r>
        <w:rPr>
          <w:rFonts w:ascii="仿宋" w:eastAsia="仿宋" w:hAnsi="仿宋" w:cs="仿宋"/>
        </w:rPr>
        <w:t>2</w:t>
      </w:r>
      <w:r>
        <w:rPr>
          <w:rFonts w:ascii="仿宋" w:eastAsia="仿宋" w:hAnsi="仿宋" w:cs="仿宋"/>
        </w:rPr>
        <w:t>人（双聘）、享受国务院特殊津贴</w:t>
      </w:r>
      <w:r>
        <w:rPr>
          <w:rFonts w:ascii="仿宋" w:eastAsia="仿宋" w:hAnsi="仿宋" w:cs="仿宋"/>
        </w:rPr>
        <w:t>5</w:t>
      </w:r>
      <w:r>
        <w:rPr>
          <w:rFonts w:ascii="仿宋" w:eastAsia="仿宋" w:hAnsi="仿宋" w:cs="仿宋"/>
        </w:rPr>
        <w:t>人、全国优秀教师</w:t>
      </w:r>
      <w:r>
        <w:rPr>
          <w:rFonts w:ascii="仿宋" w:eastAsia="仿宋" w:hAnsi="仿宋" w:cs="仿宋"/>
        </w:rPr>
        <w:t>1</w:t>
      </w:r>
      <w:r>
        <w:rPr>
          <w:rFonts w:ascii="仿宋" w:eastAsia="仿宋" w:hAnsi="仿宋" w:cs="仿宋"/>
        </w:rPr>
        <w:t>人、教育部高校教指委委员</w:t>
      </w:r>
      <w:r>
        <w:rPr>
          <w:rFonts w:ascii="仿宋" w:eastAsia="仿宋" w:hAnsi="仿宋" w:cs="仿宋"/>
        </w:rPr>
        <w:t>2</w:t>
      </w:r>
      <w:r>
        <w:rPr>
          <w:rFonts w:ascii="仿宋" w:eastAsia="仿宋" w:hAnsi="仿宋" w:cs="仿宋"/>
        </w:rPr>
        <w:t>人、曾宪梓教师奖</w:t>
      </w:r>
      <w:r>
        <w:rPr>
          <w:rFonts w:ascii="仿宋" w:eastAsia="仿宋" w:hAnsi="仿宋" w:cs="仿宋"/>
        </w:rPr>
        <w:t>7</w:t>
      </w:r>
      <w:r>
        <w:rPr>
          <w:rFonts w:ascii="仿宋" w:eastAsia="仿宋" w:hAnsi="仿宋" w:cs="仿宋"/>
        </w:rPr>
        <w:t>人，江苏省突贡、</w:t>
      </w:r>
      <w:r>
        <w:rPr>
          <w:rFonts w:ascii="仿宋" w:eastAsia="仿宋" w:hAnsi="仿宋" w:cs="仿宋"/>
        </w:rPr>
        <w:t>“</w:t>
      </w:r>
      <w:r>
        <w:rPr>
          <w:rFonts w:ascii="仿宋" w:eastAsia="仿宋" w:hAnsi="仿宋" w:cs="仿宋"/>
        </w:rPr>
        <w:t>外专百人</w:t>
      </w:r>
      <w:r>
        <w:rPr>
          <w:rFonts w:ascii="仿宋" w:eastAsia="仿宋" w:hAnsi="仿宋" w:cs="仿宋"/>
        </w:rPr>
        <w:t>”“</w:t>
      </w:r>
      <w:r>
        <w:rPr>
          <w:rFonts w:ascii="仿宋" w:eastAsia="仿宋" w:hAnsi="仿宋" w:cs="仿宋"/>
        </w:rPr>
        <w:t>双创人才</w:t>
      </w:r>
      <w:r>
        <w:rPr>
          <w:rFonts w:ascii="仿宋" w:eastAsia="仿宋" w:hAnsi="仿宋" w:cs="仿宋"/>
        </w:rPr>
        <w:t>”“</w:t>
      </w:r>
      <w:r>
        <w:rPr>
          <w:rFonts w:ascii="仿宋" w:eastAsia="仿宋" w:hAnsi="仿宋" w:cs="仿宋"/>
        </w:rPr>
        <w:t>特聘教授</w:t>
      </w:r>
      <w:r>
        <w:rPr>
          <w:rFonts w:ascii="仿宋" w:eastAsia="仿宋" w:hAnsi="仿宋" w:cs="仿宋"/>
        </w:rPr>
        <w:t>”“333</w:t>
      </w:r>
      <w:r>
        <w:rPr>
          <w:rFonts w:ascii="仿宋" w:eastAsia="仿宋" w:hAnsi="仿宋" w:cs="仿宋"/>
        </w:rPr>
        <w:t>工程</w:t>
      </w:r>
      <w:r>
        <w:rPr>
          <w:rFonts w:ascii="仿宋" w:eastAsia="仿宋" w:hAnsi="仿宋" w:cs="仿宋"/>
        </w:rPr>
        <w:t>”</w:t>
      </w:r>
      <w:r>
        <w:rPr>
          <w:rFonts w:ascii="仿宋" w:eastAsia="仿宋" w:hAnsi="仿宋" w:cs="仿宋"/>
        </w:rPr>
        <w:t>、教学名师、</w:t>
      </w:r>
      <w:r>
        <w:rPr>
          <w:rFonts w:ascii="仿宋" w:eastAsia="仿宋" w:hAnsi="仿宋" w:cs="仿宋"/>
        </w:rPr>
        <w:t>“</w:t>
      </w:r>
      <w:r>
        <w:rPr>
          <w:rFonts w:ascii="仿宋" w:eastAsia="仿宋" w:hAnsi="仿宋" w:cs="仿宋"/>
        </w:rPr>
        <w:t>青蓝工程</w:t>
      </w:r>
      <w:r>
        <w:rPr>
          <w:rFonts w:ascii="仿宋" w:eastAsia="仿宋" w:hAnsi="仿宋" w:cs="仿宋"/>
        </w:rPr>
        <w:t>”</w:t>
      </w:r>
      <w:r>
        <w:rPr>
          <w:rFonts w:ascii="仿宋" w:eastAsia="仿宋" w:hAnsi="仿宋" w:cs="仿宋"/>
        </w:rPr>
        <w:t>、优青等</w:t>
      </w:r>
      <w:r>
        <w:rPr>
          <w:rFonts w:ascii="仿宋" w:eastAsia="仿宋" w:hAnsi="仿宋" w:cs="仿宋"/>
        </w:rPr>
        <w:t>200</w:t>
      </w:r>
      <w:r>
        <w:rPr>
          <w:rFonts w:ascii="仿宋" w:eastAsia="仿宋" w:hAnsi="仿宋" w:cs="仿宋"/>
        </w:rPr>
        <w:t>余人次；国家级职业教育教师教学创新团队</w:t>
      </w:r>
      <w:r>
        <w:rPr>
          <w:rFonts w:ascii="仿宋" w:eastAsia="仿宋" w:hAnsi="仿宋" w:cs="仿宋"/>
        </w:rPr>
        <w:t>1</w:t>
      </w:r>
      <w:r>
        <w:rPr>
          <w:rFonts w:ascii="仿宋" w:eastAsia="仿宋" w:hAnsi="仿宋" w:cs="仿宋"/>
        </w:rPr>
        <w:t>个、江苏省优秀教学团队和科技创新团队</w:t>
      </w:r>
      <w:r>
        <w:rPr>
          <w:rFonts w:ascii="仿宋" w:eastAsia="仿宋" w:hAnsi="仿宋" w:cs="仿宋"/>
        </w:rPr>
        <w:t>12</w:t>
      </w:r>
      <w:r>
        <w:rPr>
          <w:rFonts w:ascii="仿宋" w:eastAsia="仿宋" w:hAnsi="仿宋" w:cs="仿宋"/>
        </w:rPr>
        <w:t>个。</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学校坚持</w:t>
      </w:r>
      <w:r>
        <w:rPr>
          <w:rFonts w:ascii="仿宋" w:eastAsia="仿宋" w:hAnsi="仿宋" w:cs="仿宋"/>
        </w:rPr>
        <w:t>“</w:t>
      </w:r>
      <w:r>
        <w:rPr>
          <w:rFonts w:ascii="仿宋" w:eastAsia="仿宋" w:hAnsi="仿宋" w:cs="仿宋"/>
        </w:rPr>
        <w:t>以人为本、注重能力、分型培养</w:t>
      </w:r>
      <w:r>
        <w:rPr>
          <w:rFonts w:ascii="仿宋" w:eastAsia="仿宋" w:hAnsi="仿宋" w:cs="仿宋"/>
        </w:rPr>
        <w:t>”</w:t>
      </w:r>
      <w:r>
        <w:rPr>
          <w:rFonts w:ascii="仿宋" w:eastAsia="仿宋" w:hAnsi="仿宋" w:cs="仿宋"/>
        </w:rPr>
        <w:t>的人才培养理念，以行业产业定专业布局，以经济社会发展需求定人才规格，以科技进步和产业升级定教学内容，培养卓越</w:t>
      </w:r>
      <w:r>
        <w:rPr>
          <w:rFonts w:ascii="仿宋" w:eastAsia="仿宋" w:hAnsi="仿宋" w:cs="仿宋"/>
        </w:rPr>
        <w:t>职教师资和应用型高级专门人才。现有教育部产教融合创新基地、国家级大学生校外实践教学基地、江苏省职教教师教育协同创新实验区、江苏省重点建设产业学院等省级以上人才培养平台（项目）</w:t>
      </w:r>
      <w:r>
        <w:rPr>
          <w:rFonts w:ascii="仿宋" w:eastAsia="仿宋" w:hAnsi="仿宋" w:cs="仿宋"/>
        </w:rPr>
        <w:t>20</w:t>
      </w:r>
      <w:r>
        <w:rPr>
          <w:rFonts w:ascii="仿宋" w:eastAsia="仿宋" w:hAnsi="仿宋" w:cs="仿宋"/>
        </w:rPr>
        <w:t>余个（项），省级和国家级一流（品牌、特色）专业、一流（精品）课程、规划（重点）教材等近</w:t>
      </w:r>
      <w:r>
        <w:rPr>
          <w:rFonts w:ascii="仿宋" w:eastAsia="仿宋" w:hAnsi="仿宋" w:cs="仿宋"/>
        </w:rPr>
        <w:t>120</w:t>
      </w:r>
      <w:r>
        <w:rPr>
          <w:rFonts w:ascii="仿宋" w:eastAsia="仿宋" w:hAnsi="仿宋" w:cs="仿宋"/>
        </w:rPr>
        <w:t>余个（门、部），获得国家级教学成果奖</w:t>
      </w:r>
      <w:r>
        <w:rPr>
          <w:rFonts w:ascii="仿宋" w:eastAsia="仿宋" w:hAnsi="仿宋" w:cs="仿宋"/>
        </w:rPr>
        <w:t>2</w:t>
      </w:r>
      <w:r>
        <w:rPr>
          <w:rFonts w:ascii="仿宋" w:eastAsia="仿宋" w:hAnsi="仿宋" w:cs="仿宋"/>
        </w:rPr>
        <w:t>项、省级教学成果奖</w:t>
      </w:r>
      <w:r>
        <w:rPr>
          <w:rFonts w:ascii="仿宋" w:eastAsia="仿宋" w:hAnsi="仿宋" w:cs="仿宋"/>
        </w:rPr>
        <w:t>20</w:t>
      </w:r>
      <w:r>
        <w:rPr>
          <w:rFonts w:ascii="仿宋" w:eastAsia="仿宋" w:hAnsi="仿宋" w:cs="仿宋"/>
        </w:rPr>
        <w:t>余项。近五年，学生在中国</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大学生创新创业大赛、</w:t>
      </w:r>
      <w:r>
        <w:rPr>
          <w:rFonts w:ascii="仿宋" w:eastAsia="仿宋" w:hAnsi="仿宋" w:cs="仿宋"/>
        </w:rPr>
        <w:t>“</w:t>
      </w:r>
      <w:r>
        <w:rPr>
          <w:rFonts w:ascii="仿宋" w:eastAsia="仿宋" w:hAnsi="仿宋" w:cs="仿宋"/>
        </w:rPr>
        <w:t>挑战杯</w:t>
      </w:r>
      <w:r>
        <w:rPr>
          <w:rFonts w:ascii="仿宋" w:eastAsia="仿宋" w:hAnsi="仿宋" w:cs="仿宋"/>
        </w:rPr>
        <w:t>”</w:t>
      </w:r>
      <w:r>
        <w:rPr>
          <w:rFonts w:ascii="仿宋" w:eastAsia="仿宋" w:hAnsi="仿宋" w:cs="仿宋"/>
        </w:rPr>
        <w:t>全国大学生课外学术科技作品竞赛、</w:t>
      </w:r>
      <w:r>
        <w:rPr>
          <w:rFonts w:ascii="仿宋" w:eastAsia="仿宋" w:hAnsi="仿宋" w:cs="仿宋"/>
        </w:rPr>
        <w:t>“</w:t>
      </w:r>
      <w:r>
        <w:rPr>
          <w:rFonts w:ascii="仿宋" w:eastAsia="仿宋" w:hAnsi="仿宋" w:cs="仿宋"/>
        </w:rPr>
        <w:t>创青春</w:t>
      </w:r>
      <w:r>
        <w:rPr>
          <w:rFonts w:ascii="仿宋" w:eastAsia="仿宋" w:hAnsi="仿宋" w:cs="仿宋"/>
        </w:rPr>
        <w:t>”</w:t>
      </w:r>
      <w:r>
        <w:rPr>
          <w:rFonts w:ascii="仿宋" w:eastAsia="仿宋" w:hAnsi="仿宋" w:cs="仿宋"/>
        </w:rPr>
        <w:t>全国大学生创业大赛、全国大学生数学建模竞赛、全国大学生电子设计竞赛等各类科</w:t>
      </w:r>
      <w:r>
        <w:rPr>
          <w:rFonts w:ascii="仿宋" w:eastAsia="仿宋" w:hAnsi="仿宋" w:cs="仿宋"/>
        </w:rPr>
        <w:t>技创新创业竞赛中获国家级、省级奖励</w:t>
      </w:r>
      <w:r>
        <w:rPr>
          <w:rFonts w:ascii="仿宋" w:eastAsia="仿宋" w:hAnsi="仿宋" w:cs="仿宋"/>
        </w:rPr>
        <w:t>2500</w:t>
      </w:r>
      <w:r>
        <w:rPr>
          <w:rFonts w:ascii="仿宋" w:eastAsia="仿宋" w:hAnsi="仿宋" w:cs="仿宋"/>
        </w:rPr>
        <w:t>余项。建校以来，为地方经济社会发展培养输送了</w:t>
      </w:r>
      <w:r>
        <w:rPr>
          <w:rFonts w:ascii="仿宋" w:eastAsia="仿宋" w:hAnsi="仿宋" w:cs="仿宋"/>
        </w:rPr>
        <w:t>7</w:t>
      </w:r>
      <w:r>
        <w:rPr>
          <w:rFonts w:ascii="仿宋" w:eastAsia="仿宋" w:hAnsi="仿宋" w:cs="仿宋"/>
        </w:rPr>
        <w:t>万多名毕业生，培训了数万名中高职教师及其他专业技术人员。毕业生深受用人单位的欢迎，就业去向落实率持续保持在</w:t>
      </w:r>
      <w:r>
        <w:rPr>
          <w:rFonts w:ascii="仿宋" w:eastAsia="仿宋" w:hAnsi="仿宋" w:cs="仿宋"/>
        </w:rPr>
        <w:t>95%</w:t>
      </w:r>
      <w:r>
        <w:rPr>
          <w:rFonts w:ascii="仿宋" w:eastAsia="仿宋" w:hAnsi="仿宋" w:cs="仿宋"/>
        </w:rPr>
        <w:t>以上。</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学校紧密结合国家发展战略和区域发展特色，优化学科结</w:t>
      </w:r>
      <w:r>
        <w:rPr>
          <w:rFonts w:ascii="仿宋" w:eastAsia="仿宋" w:hAnsi="仿宋" w:cs="仿宋"/>
        </w:rPr>
        <w:lastRenderedPageBreak/>
        <w:t>构，加强应用研究，形成了教育学、机械工程等一批引领性学科，打造了</w:t>
      </w:r>
      <w:r>
        <w:rPr>
          <w:rFonts w:ascii="仿宋" w:eastAsia="仿宋" w:hAnsi="仿宋" w:cs="仿宋"/>
        </w:rPr>
        <w:t>“</w:t>
      </w:r>
      <w:r>
        <w:rPr>
          <w:rFonts w:ascii="仿宋" w:eastAsia="仿宋" w:hAnsi="仿宋" w:cs="仿宋"/>
        </w:rPr>
        <w:t>职业技术教育</w:t>
      </w:r>
      <w:r>
        <w:rPr>
          <w:rFonts w:ascii="仿宋" w:eastAsia="仿宋" w:hAnsi="仿宋" w:cs="仿宋"/>
        </w:rPr>
        <w:t>”“</w:t>
      </w:r>
      <w:r>
        <w:rPr>
          <w:rFonts w:ascii="仿宋" w:eastAsia="仿宋" w:hAnsi="仿宋" w:cs="仿宋"/>
        </w:rPr>
        <w:t>资源循环利用</w:t>
      </w:r>
      <w:r>
        <w:rPr>
          <w:rFonts w:ascii="仿宋" w:eastAsia="仿宋" w:hAnsi="仿宋" w:cs="仿宋"/>
        </w:rPr>
        <w:t>”</w:t>
      </w:r>
      <w:r>
        <w:rPr>
          <w:rFonts w:ascii="仿宋" w:eastAsia="仿宋" w:hAnsi="仿宋" w:cs="仿宋"/>
        </w:rPr>
        <w:t>等特色亮点。现有江苏省重点学科</w:t>
      </w:r>
      <w:r>
        <w:rPr>
          <w:rFonts w:ascii="仿宋" w:eastAsia="仿宋" w:hAnsi="仿宋" w:cs="仿宋"/>
        </w:rPr>
        <w:t>5</w:t>
      </w:r>
      <w:r>
        <w:rPr>
          <w:rFonts w:ascii="仿宋" w:eastAsia="仿宋" w:hAnsi="仿宋" w:cs="仿宋"/>
        </w:rPr>
        <w:t>个，国家级技术转移中心示范机构、国家大学科技园分园、省工程（技术研究）中心、省高校重点（建设）实验室等省级以上学科科研平台</w:t>
      </w:r>
      <w:r>
        <w:rPr>
          <w:rFonts w:ascii="仿宋" w:eastAsia="仿宋" w:hAnsi="仿宋" w:cs="仿宋"/>
        </w:rPr>
        <w:t>20</w:t>
      </w:r>
      <w:r>
        <w:rPr>
          <w:rFonts w:ascii="仿宋" w:eastAsia="仿宋" w:hAnsi="仿宋" w:cs="仿宋"/>
        </w:rPr>
        <w:t>个。</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近五年，学校获省部级科研成果奖近</w:t>
      </w:r>
      <w:r>
        <w:rPr>
          <w:rFonts w:ascii="仿宋" w:eastAsia="仿宋" w:hAnsi="仿宋" w:cs="仿宋"/>
        </w:rPr>
        <w:t>60</w:t>
      </w:r>
      <w:r>
        <w:rPr>
          <w:rFonts w:ascii="仿宋" w:eastAsia="仿宋" w:hAnsi="仿宋" w:cs="仿宋"/>
        </w:rPr>
        <w:t>项，其中全国教育科学研究优秀成果一等奖二等奖和三等奖各</w:t>
      </w:r>
      <w:r>
        <w:rPr>
          <w:rFonts w:ascii="仿宋" w:eastAsia="仿宋" w:hAnsi="仿宋" w:cs="仿宋"/>
        </w:rPr>
        <w:t>1</w:t>
      </w:r>
      <w:r>
        <w:rPr>
          <w:rFonts w:ascii="仿宋" w:eastAsia="仿宋" w:hAnsi="仿宋" w:cs="仿宋"/>
        </w:rPr>
        <w:t>项，教育部高等学校科学研究优秀成果（人文社科）三等奖</w:t>
      </w:r>
      <w:r>
        <w:rPr>
          <w:rFonts w:ascii="仿宋" w:eastAsia="仿宋" w:hAnsi="仿宋" w:cs="仿宋"/>
        </w:rPr>
        <w:t>1</w:t>
      </w:r>
      <w:r>
        <w:rPr>
          <w:rFonts w:ascii="仿宋" w:eastAsia="仿宋" w:hAnsi="仿宋" w:cs="仿宋"/>
        </w:rPr>
        <w:t>项，江苏省科学技术奖二等奖</w:t>
      </w:r>
      <w:r>
        <w:rPr>
          <w:rFonts w:ascii="仿宋" w:eastAsia="仿宋" w:hAnsi="仿宋" w:cs="仿宋"/>
        </w:rPr>
        <w:t>1</w:t>
      </w:r>
      <w:r>
        <w:rPr>
          <w:rFonts w:ascii="仿宋" w:eastAsia="仿宋" w:hAnsi="仿宋" w:cs="仿宋"/>
        </w:rPr>
        <w:t>项；主持承担了国家科技支撑计划重大项目、国家自然科学基金项目、国家社会科学基金项目等国家和省部级科研项目近</w:t>
      </w:r>
      <w:r>
        <w:rPr>
          <w:rFonts w:ascii="仿宋" w:eastAsia="仿宋" w:hAnsi="仿宋" w:cs="仿宋"/>
        </w:rPr>
        <w:t>500</w:t>
      </w:r>
      <w:r>
        <w:rPr>
          <w:rFonts w:ascii="仿宋" w:eastAsia="仿宋" w:hAnsi="仿宋" w:cs="仿宋"/>
        </w:rPr>
        <w:t>项，横向科研课题近</w:t>
      </w:r>
      <w:r>
        <w:rPr>
          <w:rFonts w:ascii="仿宋" w:eastAsia="仿宋" w:hAnsi="仿宋" w:cs="仿宋"/>
        </w:rPr>
        <w:t>1600</w:t>
      </w:r>
      <w:r>
        <w:rPr>
          <w:rFonts w:ascii="仿宋" w:eastAsia="仿宋" w:hAnsi="仿宋" w:cs="仿宋"/>
        </w:rPr>
        <w:t>余项，科研到账经费</w:t>
      </w:r>
      <w:r>
        <w:rPr>
          <w:rFonts w:ascii="仿宋" w:eastAsia="仿宋" w:hAnsi="仿宋" w:cs="仿宋"/>
        </w:rPr>
        <w:t>4.5</w:t>
      </w:r>
      <w:r>
        <w:rPr>
          <w:rFonts w:ascii="仿宋" w:eastAsia="仿宋" w:hAnsi="仿宋" w:cs="仿宋"/>
        </w:rPr>
        <w:t>亿多元，国家授权发明专利</w:t>
      </w:r>
      <w:r>
        <w:rPr>
          <w:rFonts w:ascii="仿宋" w:eastAsia="仿宋" w:hAnsi="仿宋" w:cs="仿宋"/>
        </w:rPr>
        <w:t>1200</w:t>
      </w:r>
      <w:r>
        <w:rPr>
          <w:rFonts w:ascii="仿宋" w:eastAsia="仿宋" w:hAnsi="仿宋" w:cs="仿宋"/>
        </w:rPr>
        <w:t>余件。学校充分发挥高校人才、资源和技术优势，加强智库建设，推进与行业企业产业的工程技术协同创新，加大产业从业人员技术技能培训，关注地方文化</w:t>
      </w:r>
      <w:r>
        <w:rPr>
          <w:rFonts w:ascii="仿宋" w:eastAsia="仿宋" w:hAnsi="仿宋" w:cs="仿宋"/>
        </w:rPr>
        <w:t>传承与创新，深化与地方政府、行业、企业（社区）的多层次合作，与</w:t>
      </w:r>
      <w:r>
        <w:rPr>
          <w:rFonts w:ascii="仿宋" w:eastAsia="仿宋" w:hAnsi="仿宋" w:cs="仿宋"/>
        </w:rPr>
        <w:t>10</w:t>
      </w:r>
      <w:r>
        <w:rPr>
          <w:rFonts w:ascii="仿宋" w:eastAsia="仿宋" w:hAnsi="仿宋" w:cs="仿宋"/>
        </w:rPr>
        <w:t>多个省内外市、区建立校地战略合作关系，与行业协会、知名企业、大院大所共建产学研基地</w:t>
      </w:r>
      <w:r>
        <w:rPr>
          <w:rFonts w:ascii="仿宋" w:eastAsia="仿宋" w:hAnsi="仿宋" w:cs="仿宋"/>
        </w:rPr>
        <w:t>230</w:t>
      </w:r>
      <w:r>
        <w:rPr>
          <w:rFonts w:ascii="仿宋" w:eastAsia="仿宋" w:hAnsi="仿宋" w:cs="仿宋"/>
        </w:rPr>
        <w:t>余家及研究机构</w:t>
      </w:r>
      <w:r>
        <w:rPr>
          <w:rFonts w:ascii="仿宋" w:eastAsia="仿宋" w:hAnsi="仿宋" w:cs="仿宋"/>
        </w:rPr>
        <w:t>40</w:t>
      </w:r>
      <w:r>
        <w:rPr>
          <w:rFonts w:ascii="仿宋" w:eastAsia="仿宋" w:hAnsi="仿宋" w:cs="仿宋"/>
        </w:rPr>
        <w:t>余家，与地方政府部门共建常州产业研究院、常州市名人研究院、常州市职业教育现代化智库等多个研究平台，为地方经济社会发展和产业升级作出了积极贡献。</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学校大力实施国际化发展战略，积极引进国际先进办学理念、标准和资源，重点打造以中德合作为主的国际合作办学特色，先后与德国、美国、英国、澳大利亚、加拿大、法国、以</w:t>
      </w:r>
      <w:r>
        <w:rPr>
          <w:rFonts w:ascii="仿宋" w:eastAsia="仿宋" w:hAnsi="仿宋" w:cs="仿宋"/>
        </w:rPr>
        <w:lastRenderedPageBreak/>
        <w:t>色列、日本、韩国、哈萨克斯坦等国家，以</w:t>
      </w:r>
      <w:r>
        <w:rPr>
          <w:rFonts w:ascii="仿宋" w:eastAsia="仿宋" w:hAnsi="仿宋" w:cs="仿宋"/>
        </w:rPr>
        <w:t>及澳门、台湾地区的</w:t>
      </w:r>
      <w:r>
        <w:rPr>
          <w:rFonts w:ascii="仿宋" w:eastAsia="仿宋" w:hAnsi="仿宋" w:cs="仿宋"/>
        </w:rPr>
        <w:t>60</w:t>
      </w:r>
      <w:r>
        <w:rPr>
          <w:rFonts w:ascii="仿宋" w:eastAsia="仿宋" w:hAnsi="仿宋" w:cs="仿宋"/>
        </w:rPr>
        <w:t>余所高校建立了紧密的合作与交流关系。每年选派专家学者赴德、英、法、美、加、澳、新、日、韩等国家以及港澳台地区进行访学或交流。聘请百余名外籍教师来校从事教学、科研活动。目前面向</w:t>
      </w:r>
      <w:r>
        <w:rPr>
          <w:rFonts w:ascii="仿宋" w:eastAsia="仿宋" w:hAnsi="仿宋" w:cs="仿宋"/>
        </w:rPr>
        <w:t>“</w:t>
      </w:r>
      <w:r>
        <w:rPr>
          <w:rFonts w:ascii="仿宋" w:eastAsia="仿宋" w:hAnsi="仿宋" w:cs="仿宋"/>
        </w:rPr>
        <w:t>一带一路</w:t>
      </w:r>
      <w:r>
        <w:rPr>
          <w:rFonts w:ascii="仿宋" w:eastAsia="仿宋" w:hAnsi="仿宋" w:cs="仿宋"/>
        </w:rPr>
        <w:t>”</w:t>
      </w:r>
      <w:r>
        <w:rPr>
          <w:rFonts w:ascii="仿宋" w:eastAsia="仿宋" w:hAnsi="仿宋" w:cs="仿宋"/>
        </w:rPr>
        <w:t>沿线</w:t>
      </w:r>
      <w:r>
        <w:rPr>
          <w:rFonts w:ascii="仿宋" w:eastAsia="仿宋" w:hAnsi="仿宋" w:cs="仿宋"/>
        </w:rPr>
        <w:t>30</w:t>
      </w:r>
      <w:r>
        <w:rPr>
          <w:rFonts w:ascii="仿宋" w:eastAsia="仿宋" w:hAnsi="仿宋" w:cs="仿宋"/>
        </w:rPr>
        <w:t>多个国家招收留学生。</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进入新时代，学校秉承</w:t>
      </w:r>
      <w:r>
        <w:rPr>
          <w:rFonts w:ascii="仿宋" w:eastAsia="仿宋" w:hAnsi="仿宋" w:cs="仿宋"/>
        </w:rPr>
        <w:t>“</w:t>
      </w:r>
      <w:r>
        <w:rPr>
          <w:rFonts w:ascii="仿宋" w:eastAsia="仿宋" w:hAnsi="仿宋" w:cs="仿宋"/>
        </w:rPr>
        <w:t>厚德、博学、笃行</w:t>
      </w:r>
      <w:r>
        <w:rPr>
          <w:rFonts w:ascii="仿宋" w:eastAsia="仿宋" w:hAnsi="仿宋" w:cs="仿宋"/>
        </w:rPr>
        <w:t>”</w:t>
      </w:r>
      <w:r>
        <w:rPr>
          <w:rFonts w:ascii="仿宋" w:eastAsia="仿宋" w:hAnsi="仿宋" w:cs="仿宋"/>
        </w:rPr>
        <w:t>的校训，坚持应用型、地方性、国际化，主动服务国家战略，深度融入地方经济社会发展，紧贴行业产业发展需求，立足江苏、服务长三角、辐射全国、走向世界，继往开来、实干创新，朝着建设特色鲜明全国知名高水平应用型大学的奋斗目标阔步前进！</w:t>
      </w:r>
    </w:p>
    <w:p w:rsidR="00EA78E7" w:rsidRDefault="00A7167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党委办公室、院长办公室、保密办公室、法制办公室、综合考核办公室（合署）、党委组织部、党校、党委巡察工作办公室（合署）、党委统战部、社会主义学院（合署）、党委宣传部、新闻中心（合署）、教务处、教材管理处、语言文字工作委员会办公室（合署）、教学质量监控与评估处、教师发展中心（合署）、发展规划处、高教研究中心、校友工作办公室（合署）、校城融合工作办公室、科学技术处、产学研合作办公室、国家技术转移中心</w:t>
      </w:r>
      <w:r>
        <w:rPr>
          <w:rFonts w:ascii="仿宋" w:eastAsia="仿宋" w:hAnsi="仿宋" w:cs="仿宋"/>
        </w:rPr>
        <w:t>(</w:t>
      </w:r>
      <w:r>
        <w:rPr>
          <w:rFonts w:ascii="仿宋" w:eastAsia="仿宋" w:hAnsi="仿宋" w:cs="仿宋"/>
        </w:rPr>
        <w:t>合署</w:t>
      </w:r>
      <w:r>
        <w:rPr>
          <w:rFonts w:ascii="仿宋" w:eastAsia="仿宋" w:hAnsi="仿宋" w:cs="仿宋"/>
        </w:rPr>
        <w:t>)</w:t>
      </w:r>
      <w:r>
        <w:rPr>
          <w:rFonts w:ascii="仿宋" w:eastAsia="仿宋" w:hAnsi="仿宋" w:cs="仿宋"/>
        </w:rPr>
        <w:t>、社会科学处、党委研究生工作部、研究生处、</w:t>
      </w:r>
      <w:r>
        <w:rPr>
          <w:rFonts w:ascii="仿宋" w:eastAsia="仿宋" w:hAnsi="仿宋" w:cs="仿宋"/>
        </w:rPr>
        <w:t>学科建设办公室（合署）、党委教师工作部、人事处、人才工作办公室（合署）、党委学生工作部、学生工作处、人民武装部（合署）、财务处、审计处、国际合作与交流处、港澳</w:t>
      </w:r>
      <w:r>
        <w:rPr>
          <w:rFonts w:ascii="仿宋" w:eastAsia="仿宋" w:hAnsi="仿宋" w:cs="仿宋"/>
        </w:rPr>
        <w:lastRenderedPageBreak/>
        <w:t>工作办公室、对台工作办公室（合署）、资产管理处、实验室与设备管理处、招投标办公室（合署）、后勤保障处、后勤服务总公司（合署）、党委保卫部、保卫处（合署）、新校区建设指挥部办公室、继续教育管理处、工会、妇委会（合署）、团委、离退休工作处、纪委办公室、监督检查处、审查调查处、图书馆、档案馆（合署）、信息中心、工程实训中心、分析测试中心（合署）、继续教育学院</w:t>
      </w:r>
      <w:r>
        <w:rPr>
          <w:rFonts w:ascii="仿宋" w:eastAsia="仿宋" w:hAnsi="仿宋" w:cs="仿宋"/>
        </w:rPr>
        <w:t>、全国重点建设职业教育师资培养培训基地办公室、江苏省高等职业教育教师培训中心、机械工程学院、电气信息工程学院、计算机工程学院、化学化工学院、资源与环境工程学院、材料工程学院、汽车与交通工程学院、中德诺浩汽车服务培训中心（合署）、管理学院、经济学院、外国语学院、艺术设计学院、教育学院、教师教育学院（合署）、文化与旅游学院、数理学院、国际教育学院、马克思主义学院、体育部、职业教育学部：职业教育研究院，职教教师教育学院、炎培学院（合署）、应用技术学院、东方学院（公有民办，与教务处合署）。本单位下属单位包括</w:t>
      </w:r>
      <w:r>
        <w:rPr>
          <w:rFonts w:ascii="仿宋" w:eastAsia="仿宋" w:hAnsi="仿宋" w:cs="仿宋"/>
        </w:rPr>
        <w:t>:</w:t>
      </w:r>
      <w:r>
        <w:rPr>
          <w:rFonts w:ascii="仿宋" w:eastAsia="仿宋" w:hAnsi="仿宋" w:cs="仿宋"/>
        </w:rPr>
        <w:t>资产经</w:t>
      </w:r>
      <w:r>
        <w:rPr>
          <w:rFonts w:ascii="仿宋" w:eastAsia="仿宋" w:hAnsi="仿宋" w:cs="仿宋"/>
        </w:rPr>
        <w:t>营公司。</w:t>
      </w:r>
    </w:p>
    <w:p w:rsidR="00EA78E7" w:rsidRDefault="00A71678">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单位主要工作任务及目标</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2023</w:t>
      </w:r>
      <w:r>
        <w:rPr>
          <w:rFonts w:ascii="仿宋" w:eastAsia="仿宋" w:hAnsi="仿宋" w:cs="仿宋"/>
        </w:rPr>
        <w:t>年是全面贯彻落实党的二十大精神的开局之年，是实施</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发展规划承上启下的关键一年，机遇与挑战并存，要着力在开局上做文章，坚持</w:t>
      </w:r>
      <w:r>
        <w:rPr>
          <w:rFonts w:ascii="仿宋" w:eastAsia="仿宋" w:hAnsi="仿宋" w:cs="仿宋"/>
        </w:rPr>
        <w:t>“1366”</w:t>
      </w:r>
      <w:r>
        <w:rPr>
          <w:rFonts w:ascii="仿宋" w:eastAsia="仿宋" w:hAnsi="仿宋" w:cs="仿宋"/>
        </w:rPr>
        <w:t>总体工作思路，开辟新赛道，做出新优势，写好新答卷。</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工作总体要求：坚持以习近平新时代中国特色社会主义思</w:t>
      </w:r>
      <w:r>
        <w:rPr>
          <w:rFonts w:ascii="仿宋" w:eastAsia="仿宋" w:hAnsi="仿宋" w:cs="仿宋"/>
        </w:rPr>
        <w:lastRenderedPageBreak/>
        <w:t>想为指导，紧紧围绕深入学习贯彻党的二十大精神这条主线，紧扣推动高质量发展这个主题，弘扬伟大建党精神，牢记</w:t>
      </w:r>
      <w:r>
        <w:rPr>
          <w:rFonts w:ascii="仿宋" w:eastAsia="仿宋" w:hAnsi="仿宋" w:cs="仿宋"/>
        </w:rPr>
        <w:t>“</w:t>
      </w:r>
      <w:r>
        <w:rPr>
          <w:rFonts w:ascii="仿宋" w:eastAsia="仿宋" w:hAnsi="仿宋" w:cs="仿宋"/>
        </w:rPr>
        <w:t>三个务必</w:t>
      </w:r>
      <w:r>
        <w:rPr>
          <w:rFonts w:ascii="仿宋" w:eastAsia="仿宋" w:hAnsi="仿宋" w:cs="仿宋"/>
        </w:rPr>
        <w:t>”</w:t>
      </w:r>
      <w:r>
        <w:rPr>
          <w:rFonts w:ascii="仿宋" w:eastAsia="仿宋" w:hAnsi="仿宋" w:cs="仿宋"/>
        </w:rPr>
        <w:t>，坚持和加强党对学校工作的全面领导，全面贯彻党的教育方针，全面落实立德树人根本任务，坚持稳中求进总基调，高效统筹高质量发展与安全稳定、当前与长远，锚定办学目标、聚焦主攻方向、落实重点任务，统筹推进</w:t>
      </w:r>
      <w:r>
        <w:rPr>
          <w:rFonts w:ascii="仿宋" w:eastAsia="仿宋" w:hAnsi="仿宋" w:cs="仿宋"/>
        </w:rPr>
        <w:t>“</w:t>
      </w:r>
      <w:r>
        <w:rPr>
          <w:rFonts w:ascii="仿宋" w:eastAsia="仿宋" w:hAnsi="仿宋" w:cs="仿宋"/>
        </w:rPr>
        <w:t>六维一体</w:t>
      </w:r>
      <w:r>
        <w:rPr>
          <w:rFonts w:ascii="仿宋" w:eastAsia="仿宋" w:hAnsi="仿宋" w:cs="仿宋"/>
        </w:rPr>
        <w:t>”</w:t>
      </w:r>
      <w:r>
        <w:rPr>
          <w:rFonts w:ascii="仿宋" w:eastAsia="仿宋" w:hAnsi="仿宋" w:cs="仿宋"/>
        </w:rPr>
        <w:t>建设，着力推进</w:t>
      </w:r>
      <w:r>
        <w:rPr>
          <w:rFonts w:ascii="仿宋" w:eastAsia="仿宋" w:hAnsi="仿宋" w:cs="仿宋"/>
        </w:rPr>
        <w:t>“</w:t>
      </w:r>
      <w:r>
        <w:rPr>
          <w:rFonts w:ascii="仿宋" w:eastAsia="仿宋" w:hAnsi="仿宋" w:cs="仿宋"/>
        </w:rPr>
        <w:t>六个全面</w:t>
      </w:r>
      <w:r>
        <w:rPr>
          <w:rFonts w:ascii="仿宋" w:eastAsia="仿宋" w:hAnsi="仿宋" w:cs="仿宋"/>
        </w:rPr>
        <w:t>”</w:t>
      </w:r>
      <w:r>
        <w:rPr>
          <w:rFonts w:ascii="仿宋" w:eastAsia="仿宋" w:hAnsi="仿宋" w:cs="仿宋"/>
        </w:rPr>
        <w:t>落实，全力打好</w:t>
      </w:r>
      <w:r>
        <w:rPr>
          <w:rFonts w:ascii="仿宋" w:eastAsia="仿宋" w:hAnsi="仿宋" w:cs="仿宋"/>
        </w:rPr>
        <w:t>“</w:t>
      </w:r>
      <w:r>
        <w:rPr>
          <w:rFonts w:ascii="仿宋" w:eastAsia="仿宋" w:hAnsi="仿宋" w:cs="仿宋"/>
        </w:rPr>
        <w:t>三大攻坚战</w:t>
      </w:r>
      <w:r>
        <w:rPr>
          <w:rFonts w:ascii="仿宋" w:eastAsia="仿宋" w:hAnsi="仿宋" w:cs="仿宋"/>
        </w:rPr>
        <w:t>”</w:t>
      </w:r>
      <w:r>
        <w:rPr>
          <w:rFonts w:ascii="仿宋" w:eastAsia="仿宋" w:hAnsi="仿宋" w:cs="仿宋"/>
        </w:rPr>
        <w:t>，始终保持稳的定力、进的信心、紧的状态和实的干劲，敢想敢干敢作为，团结奋斗向未来，凝</w:t>
      </w:r>
      <w:r>
        <w:rPr>
          <w:rFonts w:ascii="仿宋" w:eastAsia="仿宋" w:hAnsi="仿宋" w:cs="仿宋"/>
        </w:rPr>
        <w:t>心聚力办好更为适合、更加优质的大学教育，奋力谱写加快建设特色鲜明的一流应用型大学的新篇章。</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一、聚力党建引领，牢牢把握学校正确的办学方向</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坚持和加强党的创新理论武装。全面学习宣传贯彻落实党的二十大精神，深刻领悟教育、科技、人才</w:t>
      </w:r>
      <w:r>
        <w:rPr>
          <w:rFonts w:ascii="仿宋" w:eastAsia="仿宋" w:hAnsi="仿宋" w:cs="仿宋"/>
        </w:rPr>
        <w:t>“</w:t>
      </w:r>
      <w:r>
        <w:rPr>
          <w:rFonts w:ascii="仿宋" w:eastAsia="仿宋" w:hAnsi="仿宋" w:cs="仿宋"/>
        </w:rPr>
        <w:t>三位一体</w:t>
      </w:r>
      <w:r>
        <w:rPr>
          <w:rFonts w:ascii="仿宋" w:eastAsia="仿宋" w:hAnsi="仿宋" w:cs="仿宋"/>
        </w:rPr>
        <w:t>”</w:t>
      </w:r>
      <w:r>
        <w:rPr>
          <w:rFonts w:ascii="仿宋" w:eastAsia="仿宋" w:hAnsi="仿宋" w:cs="仿宋"/>
        </w:rPr>
        <w:t>的战略意义。推进习近平新时代中国特色社会主义思想原创性、学理化、学科化的研究阐释，扎实推进习近平新时代中国特色社会主义思想进教材进课堂进头脑，切实增强用党的创新理论武装头脑、指导实践、推动工作的政治自觉和行动自觉。巩固和深化党委常委会</w:t>
      </w:r>
      <w:r>
        <w:rPr>
          <w:rFonts w:ascii="仿宋" w:eastAsia="仿宋" w:hAnsi="仿宋" w:cs="仿宋"/>
        </w:rPr>
        <w:t>“</w:t>
      </w:r>
      <w:r>
        <w:rPr>
          <w:rFonts w:ascii="仿宋" w:eastAsia="仿宋" w:hAnsi="仿宋" w:cs="仿宋"/>
        </w:rPr>
        <w:t>第一议题</w:t>
      </w:r>
      <w:r>
        <w:rPr>
          <w:rFonts w:ascii="仿宋" w:eastAsia="仿宋" w:hAnsi="仿宋" w:cs="仿宋"/>
        </w:rPr>
        <w:t>”</w:t>
      </w:r>
      <w:r>
        <w:rPr>
          <w:rFonts w:ascii="仿宋" w:eastAsia="仿宋" w:hAnsi="仿宋" w:cs="仿宋"/>
        </w:rPr>
        <w:t>学习成效。健全四级理论武</w:t>
      </w:r>
      <w:r>
        <w:rPr>
          <w:rFonts w:ascii="仿宋" w:eastAsia="仿宋" w:hAnsi="仿宋" w:cs="仿宋"/>
        </w:rPr>
        <w:t>装体系，统筹抓好全校政治理论学习，完善中心组学习纪实和巡学旁听制度，创新理论学习形式，丰富理论学习载体，增强理论学习实效性。</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认真筹备召开校第三次党代会。把开好学校第三次党代</w:t>
      </w:r>
      <w:r>
        <w:rPr>
          <w:rFonts w:ascii="仿宋" w:eastAsia="仿宋" w:hAnsi="仿宋" w:cs="仿宋"/>
        </w:rPr>
        <w:lastRenderedPageBreak/>
        <w:t>会作为重要政治任务谋划、重要工作推动。做好</w:t>
      </w:r>
      <w:r>
        <w:rPr>
          <w:rFonts w:ascii="仿宋" w:eastAsia="仿宋" w:hAnsi="仿宋" w:cs="仿宋"/>
        </w:rPr>
        <w:t>“</w:t>
      </w:r>
      <w:r>
        <w:rPr>
          <w:rFonts w:ascii="仿宋" w:eastAsia="仿宋" w:hAnsi="仿宋" w:cs="仿宋"/>
        </w:rPr>
        <w:t>两委</w:t>
      </w:r>
      <w:r>
        <w:rPr>
          <w:rFonts w:ascii="仿宋" w:eastAsia="仿宋" w:hAnsi="仿宋" w:cs="仿宋"/>
        </w:rPr>
        <w:t>”</w:t>
      </w:r>
      <w:r>
        <w:rPr>
          <w:rFonts w:ascii="仿宋" w:eastAsia="仿宋" w:hAnsi="仿宋" w:cs="仿宋"/>
        </w:rPr>
        <w:t>工作报告的起草，谋划好学校未来五年乃至更长时间的发展蓝图，明确</w:t>
      </w:r>
      <w:r>
        <w:rPr>
          <w:rFonts w:ascii="仿宋" w:eastAsia="仿宋" w:hAnsi="仿宋" w:cs="仿宋"/>
        </w:rPr>
        <w:t>“</w:t>
      </w:r>
      <w:r>
        <w:rPr>
          <w:rFonts w:ascii="仿宋" w:eastAsia="仿宋" w:hAnsi="仿宋" w:cs="仿宋"/>
        </w:rPr>
        <w:t>时间表</w:t>
      </w:r>
      <w:r>
        <w:rPr>
          <w:rFonts w:ascii="仿宋" w:eastAsia="仿宋" w:hAnsi="仿宋" w:cs="仿宋"/>
        </w:rPr>
        <w:t>”</w:t>
      </w:r>
      <w:r>
        <w:rPr>
          <w:rFonts w:ascii="仿宋" w:eastAsia="仿宋" w:hAnsi="仿宋" w:cs="仿宋"/>
        </w:rPr>
        <w:t>、规划</w:t>
      </w:r>
      <w:r>
        <w:rPr>
          <w:rFonts w:ascii="仿宋" w:eastAsia="仿宋" w:hAnsi="仿宋" w:cs="仿宋"/>
        </w:rPr>
        <w:t>“</w:t>
      </w:r>
      <w:r>
        <w:rPr>
          <w:rFonts w:ascii="仿宋" w:eastAsia="仿宋" w:hAnsi="仿宋" w:cs="仿宋"/>
        </w:rPr>
        <w:t>路线图</w:t>
      </w:r>
      <w:r>
        <w:rPr>
          <w:rFonts w:ascii="仿宋" w:eastAsia="仿宋" w:hAnsi="仿宋" w:cs="仿宋"/>
        </w:rPr>
        <w:t>”</w:t>
      </w:r>
      <w:r>
        <w:rPr>
          <w:rFonts w:ascii="仿宋" w:eastAsia="仿宋" w:hAnsi="仿宋" w:cs="仿宋"/>
        </w:rPr>
        <w:t>，制定</w:t>
      </w:r>
      <w:r>
        <w:rPr>
          <w:rFonts w:ascii="仿宋" w:eastAsia="仿宋" w:hAnsi="仿宋" w:cs="仿宋"/>
        </w:rPr>
        <w:t>“</w:t>
      </w:r>
      <w:r>
        <w:rPr>
          <w:rFonts w:ascii="仿宋" w:eastAsia="仿宋" w:hAnsi="仿宋" w:cs="仿宋"/>
        </w:rPr>
        <w:t>任务书</w:t>
      </w:r>
      <w:r>
        <w:rPr>
          <w:rFonts w:ascii="仿宋" w:eastAsia="仿宋" w:hAnsi="仿宋" w:cs="仿宋"/>
        </w:rPr>
        <w:t>”</w:t>
      </w:r>
      <w:r>
        <w:rPr>
          <w:rFonts w:ascii="仿宋" w:eastAsia="仿宋" w:hAnsi="仿宋" w:cs="仿宋"/>
        </w:rPr>
        <w:t>。做好大会各项筹备和组织工作。做好迎接学校第三次党代会宣传工作，凝聚全校师生上下一心、团结奋斗，以优异成绩迎接学校第三次党代会的胜利召开。</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持续加强高素质干部队伍建设。进一步推</w:t>
      </w:r>
      <w:r>
        <w:rPr>
          <w:rFonts w:ascii="仿宋" w:eastAsia="仿宋" w:hAnsi="仿宋" w:cs="仿宋"/>
        </w:rPr>
        <w:t>动学校内设机构和领导职数调整优化，高标准、严要求完成新一轮干部选任调整工作。实施青年干部人才成长</w:t>
      </w:r>
      <w:r>
        <w:rPr>
          <w:rFonts w:ascii="仿宋" w:eastAsia="仿宋" w:hAnsi="仿宋" w:cs="仿宋"/>
        </w:rPr>
        <w:t>“</w:t>
      </w:r>
      <w:r>
        <w:rPr>
          <w:rFonts w:ascii="仿宋" w:eastAsia="仿宋" w:hAnsi="仿宋" w:cs="仿宋"/>
        </w:rPr>
        <w:t>育苗工程</w:t>
      </w:r>
      <w:r>
        <w:rPr>
          <w:rFonts w:ascii="仿宋" w:eastAsia="仿宋" w:hAnsi="仿宋" w:cs="仿宋"/>
        </w:rPr>
        <w:t>”</w:t>
      </w:r>
      <w:r>
        <w:rPr>
          <w:rFonts w:ascii="仿宋" w:eastAsia="仿宋" w:hAnsi="仿宋" w:cs="仿宋"/>
        </w:rPr>
        <w:t>，健全日常发现、跟踪培养、适时使用、从严管理等培养选拔优秀年轻干部常态化工作机制。把政治建设放在首要位置，把能力建设放在突出位置，拓宽干部人才培养路径，加强思想淬炼、政治历练、实践锻炼和专业训练。继续深化干部学习教育管理，推动干部学习培训全覆盖。强化干部日常教育管理与监督，完善干部考核评价体系，落实落细</w:t>
      </w:r>
      <w:r>
        <w:rPr>
          <w:rFonts w:ascii="仿宋" w:eastAsia="仿宋" w:hAnsi="仿宋" w:cs="仿宋"/>
        </w:rPr>
        <w:t>“</w:t>
      </w:r>
      <w:r>
        <w:rPr>
          <w:rFonts w:ascii="仿宋" w:eastAsia="仿宋" w:hAnsi="仿宋" w:cs="仿宋"/>
        </w:rPr>
        <w:t>三项机制</w:t>
      </w:r>
      <w:r>
        <w:rPr>
          <w:rFonts w:ascii="仿宋" w:eastAsia="仿宋" w:hAnsi="仿宋" w:cs="仿宋"/>
        </w:rPr>
        <w:t>”</w:t>
      </w:r>
      <w:r>
        <w:rPr>
          <w:rFonts w:ascii="仿宋" w:eastAsia="仿宋" w:hAnsi="仿宋" w:cs="仿宋"/>
        </w:rPr>
        <w:t>，激发干部干事创业活力。</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加强改进新时代意识形态管理。明晰意识形态工作责任，与二级基</w:t>
      </w:r>
      <w:r>
        <w:rPr>
          <w:rFonts w:ascii="仿宋" w:eastAsia="仿宋" w:hAnsi="仿宋" w:cs="仿宋"/>
        </w:rPr>
        <w:t>层党组织签订《</w:t>
      </w:r>
      <w:r>
        <w:rPr>
          <w:rFonts w:ascii="仿宋" w:eastAsia="仿宋" w:hAnsi="仿宋" w:cs="仿宋"/>
        </w:rPr>
        <w:t>2023</w:t>
      </w:r>
      <w:r>
        <w:rPr>
          <w:rFonts w:ascii="仿宋" w:eastAsia="仿宋" w:hAnsi="仿宋" w:cs="仿宋"/>
        </w:rPr>
        <w:t>年意识形态工作责任书》，筑牢网上网下意识形态工作</w:t>
      </w:r>
      <w:r>
        <w:rPr>
          <w:rFonts w:ascii="仿宋" w:eastAsia="仿宋" w:hAnsi="仿宋" w:cs="仿宋"/>
        </w:rPr>
        <w:t>“</w:t>
      </w:r>
      <w:r>
        <w:rPr>
          <w:rFonts w:ascii="仿宋" w:eastAsia="仿宋" w:hAnsi="仿宋" w:cs="仿宋"/>
        </w:rPr>
        <w:t>防火墙</w:t>
      </w:r>
      <w:r>
        <w:rPr>
          <w:rFonts w:ascii="仿宋" w:eastAsia="仿宋" w:hAnsi="仿宋" w:cs="仿宋"/>
        </w:rPr>
        <w:t>”</w:t>
      </w:r>
      <w:r>
        <w:rPr>
          <w:rFonts w:ascii="仿宋" w:eastAsia="仿宋" w:hAnsi="仿宋" w:cs="仿宋"/>
        </w:rPr>
        <w:t>。健全意识形态工作体系，完善意识形态工作制度供给。加强意识形态阵地管控，强化课堂、讲座、报告、</w:t>
      </w:r>
      <w:r>
        <w:rPr>
          <w:rFonts w:ascii="仿宋" w:eastAsia="仿宋" w:hAnsi="仿宋" w:cs="仿宋"/>
        </w:rPr>
        <w:t>“</w:t>
      </w:r>
      <w:r>
        <w:rPr>
          <w:rFonts w:ascii="仿宋" w:eastAsia="仿宋" w:hAnsi="仿宋" w:cs="仿宋"/>
        </w:rPr>
        <w:t>三微一端</w:t>
      </w:r>
      <w:r>
        <w:rPr>
          <w:rFonts w:ascii="仿宋" w:eastAsia="仿宋" w:hAnsi="仿宋" w:cs="仿宋"/>
        </w:rPr>
        <w:t>”</w:t>
      </w:r>
      <w:r>
        <w:rPr>
          <w:rFonts w:ascii="仿宋" w:eastAsia="仿宋" w:hAnsi="仿宋" w:cs="仿宋"/>
        </w:rPr>
        <w:t>等阵地管理，落实全程跟听和责任追溯倒查制度。加强舆情研判处置，增强意识形态领域重大议题设置能力和特殊情况的处置能力。进一步完善线上</w:t>
      </w:r>
      <w:r>
        <w:rPr>
          <w:rFonts w:ascii="仿宋" w:eastAsia="仿宋" w:hAnsi="仿宋" w:cs="仿宋"/>
        </w:rPr>
        <w:lastRenderedPageBreak/>
        <w:t>线下融合处置突发舆情事件的工作机制和责任链条。</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推进思想政治工作守正创新。进一步健全</w:t>
      </w:r>
      <w:r>
        <w:rPr>
          <w:rFonts w:ascii="仿宋" w:eastAsia="仿宋" w:hAnsi="仿宋" w:cs="仿宋"/>
        </w:rPr>
        <w:t>“</w:t>
      </w:r>
      <w:r>
        <w:rPr>
          <w:rFonts w:ascii="仿宋" w:eastAsia="仿宋" w:hAnsi="仿宋" w:cs="仿宋"/>
        </w:rPr>
        <w:t>三全育人</w:t>
      </w:r>
      <w:r>
        <w:rPr>
          <w:rFonts w:ascii="仿宋" w:eastAsia="仿宋" w:hAnsi="仿宋" w:cs="仿宋"/>
        </w:rPr>
        <w:t>”</w:t>
      </w:r>
      <w:r>
        <w:rPr>
          <w:rFonts w:ascii="仿宋" w:eastAsia="仿宋" w:hAnsi="仿宋" w:cs="仿宋"/>
        </w:rPr>
        <w:t>工作机制，制定学校</w:t>
      </w:r>
      <w:r>
        <w:rPr>
          <w:rFonts w:ascii="仿宋" w:eastAsia="仿宋" w:hAnsi="仿宋" w:cs="仿宋"/>
        </w:rPr>
        <w:t>2023</w:t>
      </w:r>
      <w:r>
        <w:rPr>
          <w:rFonts w:ascii="仿宋" w:eastAsia="仿宋" w:hAnsi="仿宋" w:cs="仿宋"/>
        </w:rPr>
        <w:t>年思政工作重点任务清单，筹备召开学校思想政治工作会议。健全思想政治工作</w:t>
      </w:r>
      <w:r>
        <w:rPr>
          <w:rFonts w:ascii="仿宋" w:eastAsia="仿宋" w:hAnsi="仿宋" w:cs="仿宋"/>
        </w:rPr>
        <w:t>联席会机制，完善和落实党委常委会定期研究思想政治工作制度。加强新时代学校思想政治工作研究，创新工作载体，赋能思想政治工作高质量发展。加强网络思政工作，打造网络思政工作品牌。协同推进课程思政和思政课程建设，推进思政课教学改革创新。落实《关于进一步加强马克思主义学院建设的实施方案》，推动马克思主义学院高质量发展。</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推动基层党建全面提质创优。突出增强基层党组织政治功能和组织功能，严肃党内政治生活，落实好</w:t>
      </w:r>
      <w:r>
        <w:rPr>
          <w:rFonts w:ascii="仿宋" w:eastAsia="仿宋" w:hAnsi="仿宋" w:cs="仿宋"/>
        </w:rPr>
        <w:t>“</w:t>
      </w:r>
      <w:r>
        <w:rPr>
          <w:rFonts w:ascii="仿宋" w:eastAsia="仿宋" w:hAnsi="仿宋" w:cs="仿宋"/>
        </w:rPr>
        <w:t>三会一课</w:t>
      </w:r>
      <w:r>
        <w:rPr>
          <w:rFonts w:ascii="仿宋" w:eastAsia="仿宋" w:hAnsi="仿宋" w:cs="仿宋"/>
        </w:rPr>
        <w:t>”</w:t>
      </w:r>
      <w:r>
        <w:rPr>
          <w:rFonts w:ascii="仿宋" w:eastAsia="仿宋" w:hAnsi="仿宋" w:cs="仿宋"/>
        </w:rPr>
        <w:t>等制度，进一步优化组织体系。持续推进</w:t>
      </w:r>
      <w:r>
        <w:rPr>
          <w:rFonts w:ascii="仿宋" w:eastAsia="仿宋" w:hAnsi="仿宋" w:cs="仿宋"/>
        </w:rPr>
        <w:t>“</w:t>
      </w:r>
      <w:r>
        <w:rPr>
          <w:rFonts w:ascii="仿宋" w:eastAsia="仿宋" w:hAnsi="仿宋" w:cs="仿宋"/>
        </w:rPr>
        <w:t>强基创优</w:t>
      </w:r>
      <w:r>
        <w:rPr>
          <w:rFonts w:ascii="仿宋" w:eastAsia="仿宋" w:hAnsi="仿宋" w:cs="仿宋"/>
        </w:rPr>
        <w:t>”</w:t>
      </w:r>
      <w:r>
        <w:rPr>
          <w:rFonts w:ascii="仿宋" w:eastAsia="仿宋" w:hAnsi="仿宋" w:cs="仿宋"/>
        </w:rPr>
        <w:t>计划，重点做好学校已获批省级党建工作标杆院系、样</w:t>
      </w:r>
      <w:r>
        <w:rPr>
          <w:rFonts w:ascii="仿宋" w:eastAsia="仿宋" w:hAnsi="仿宋" w:cs="仿宋"/>
        </w:rPr>
        <w:t>板支部的培育建设验收工作及新一批培育建设对象申报工作。深化党建共建成果，突出党建引领作用，创立党建工作新品牌。加强基层党建资源配置，补齐配强专职组织员等基层党务人员队伍，不断提升基层党建水平。进一步夯实基层党组织书记抓党建工作。提升各级基层党组织负责人及党员教育培训质效，选树表彰优秀典型。着力打造行业党建联盟。</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一刻不停推进全面从严治党。紧盯关键少数，制定全面从严治党主体责任清单和纪委监督责任清单，强化督促检查落实，拉紧责任传导链条，织密扎牢责任网络。加强廉洁文化建</w:t>
      </w:r>
      <w:r>
        <w:rPr>
          <w:rFonts w:ascii="仿宋" w:eastAsia="仿宋" w:hAnsi="仿宋" w:cs="仿宋"/>
        </w:rPr>
        <w:lastRenderedPageBreak/>
        <w:t>设，常态化开展警示教育活动，召开学校全</w:t>
      </w:r>
      <w:r>
        <w:rPr>
          <w:rFonts w:ascii="仿宋" w:eastAsia="仿宋" w:hAnsi="仿宋" w:cs="仿宋"/>
        </w:rPr>
        <w:t>面从严治党工作会议。严格监督执纪问责，健全</w:t>
      </w:r>
      <w:r>
        <w:rPr>
          <w:rFonts w:ascii="仿宋" w:eastAsia="仿宋" w:hAnsi="仿宋" w:cs="仿宋"/>
        </w:rPr>
        <w:t>“</w:t>
      </w:r>
      <w:r>
        <w:rPr>
          <w:rFonts w:ascii="仿宋" w:eastAsia="仿宋" w:hAnsi="仿宋" w:cs="仿宋"/>
        </w:rPr>
        <w:t>三不</w:t>
      </w:r>
      <w:r>
        <w:rPr>
          <w:rFonts w:ascii="仿宋" w:eastAsia="仿宋" w:hAnsi="仿宋" w:cs="仿宋"/>
        </w:rPr>
        <w:t>”</w:t>
      </w:r>
      <w:r>
        <w:rPr>
          <w:rFonts w:ascii="仿宋" w:eastAsia="仿宋" w:hAnsi="仿宋" w:cs="仿宋"/>
        </w:rPr>
        <w:t>一体推进机制，运用好第一种形态，全覆盖不定期约谈二级基层党组织负责人及纪检委员。坚持严的基调和严的作风，常态化开展纠治</w:t>
      </w:r>
      <w:r>
        <w:rPr>
          <w:rFonts w:ascii="仿宋" w:eastAsia="仿宋" w:hAnsi="仿宋" w:cs="仿宋"/>
        </w:rPr>
        <w:t>“</w:t>
      </w:r>
      <w:r>
        <w:rPr>
          <w:rFonts w:ascii="仿宋" w:eastAsia="仿宋" w:hAnsi="仿宋" w:cs="仿宋"/>
        </w:rPr>
        <w:t>四风</w:t>
      </w:r>
      <w:r>
        <w:rPr>
          <w:rFonts w:ascii="仿宋" w:eastAsia="仿宋" w:hAnsi="仿宋" w:cs="仿宋"/>
        </w:rPr>
        <w:t>”</w:t>
      </w:r>
      <w:r>
        <w:rPr>
          <w:rFonts w:ascii="仿宋" w:eastAsia="仿宋" w:hAnsi="仿宋" w:cs="仿宋"/>
        </w:rPr>
        <w:t>工作，重点纠治形式主义、官僚主义。持之以恒加强作风建设，开展作风建设主题活动。巩固和深化巡视整改成果，持续推进巡视整改任务落实。扎实做好校内巡察工作。完善学校全面从严治党工作体系。</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充分发挥统战群团组织力量。全面加强党对统战工作的领导，抓实统战工作</w:t>
      </w:r>
      <w:r>
        <w:rPr>
          <w:rFonts w:ascii="仿宋" w:eastAsia="仿宋" w:hAnsi="仿宋" w:cs="仿宋"/>
        </w:rPr>
        <w:t>“</w:t>
      </w:r>
      <w:r>
        <w:rPr>
          <w:rFonts w:ascii="仿宋" w:eastAsia="仿宋" w:hAnsi="仿宋" w:cs="仿宋"/>
        </w:rPr>
        <w:t>四个纳入</w:t>
      </w:r>
      <w:r>
        <w:rPr>
          <w:rFonts w:ascii="仿宋" w:eastAsia="仿宋" w:hAnsi="仿宋" w:cs="仿宋"/>
        </w:rPr>
        <w:t>”</w:t>
      </w:r>
      <w:r>
        <w:rPr>
          <w:rFonts w:ascii="仿宋" w:eastAsia="仿宋" w:hAnsi="仿宋" w:cs="仿宋"/>
        </w:rPr>
        <w:t>和</w:t>
      </w:r>
      <w:r>
        <w:rPr>
          <w:rFonts w:ascii="仿宋" w:eastAsia="仿宋" w:hAnsi="仿宋" w:cs="仿宋"/>
        </w:rPr>
        <w:t>“</w:t>
      </w:r>
      <w:r>
        <w:rPr>
          <w:rFonts w:ascii="仿宋" w:eastAsia="仿宋" w:hAnsi="仿宋" w:cs="仿宋"/>
        </w:rPr>
        <w:t>三个带头</w:t>
      </w:r>
      <w:r>
        <w:rPr>
          <w:rFonts w:ascii="仿宋" w:eastAsia="仿宋" w:hAnsi="仿宋" w:cs="仿宋"/>
        </w:rPr>
        <w:t>”</w:t>
      </w:r>
      <w:r>
        <w:rPr>
          <w:rFonts w:ascii="仿宋" w:eastAsia="仿宋" w:hAnsi="仿宋" w:cs="仿宋"/>
        </w:rPr>
        <w:t>。严格落实校院两级党委领导联系党外代表人士制度，加强民主党</w:t>
      </w:r>
      <w:r>
        <w:rPr>
          <w:rFonts w:ascii="仿宋" w:eastAsia="仿宋" w:hAnsi="仿宋" w:cs="仿宋"/>
        </w:rPr>
        <w:t>派基层组织及统战团体制度化、规范化建设。打造一批有影响、有实效的统战工作品牌。积极构建统一战线年度提案议案机制。扎实做好新形势下校园民族宗教工作。健全工会思想政治引领、教职工创新创造激励和教职工权益保护机制。召开第二届教职工代表大会第五次会议及二级教代会。坚持党建带团建，深化团学组织改革与建设。做好离退休老同志服务保障工作，发挥好关工委育人功能。</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二、聚力优势发展，着力建设有贡献度的新兴学科</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w:t>
      </w:r>
      <w:r>
        <w:rPr>
          <w:rFonts w:ascii="仿宋" w:eastAsia="仿宋" w:hAnsi="仿宋" w:cs="仿宋"/>
        </w:rPr>
        <w:t>着力推进专业学位培育点建设。对标对表博士专业学位授权点申请条件，高标准推进教育、机械、资源与环境</w:t>
      </w:r>
      <w:r>
        <w:rPr>
          <w:rFonts w:ascii="仿宋" w:eastAsia="仿宋" w:hAnsi="仿宋" w:cs="仿宋"/>
        </w:rPr>
        <w:t>3</w:t>
      </w:r>
      <w:r>
        <w:rPr>
          <w:rFonts w:ascii="仿宋" w:eastAsia="仿宋" w:hAnsi="仿宋" w:cs="仿宋"/>
        </w:rPr>
        <w:t>个硕士专业学位</w:t>
      </w:r>
      <w:r>
        <w:rPr>
          <w:rFonts w:ascii="仿宋" w:eastAsia="仿宋" w:hAnsi="仿宋" w:cs="仿宋"/>
        </w:rPr>
        <w:t>授权点的建设。以新一轮学位授权审核工作为契机，做好新增硕士专业学位授权点申报工作。重点抓好硕士专</w:t>
      </w:r>
      <w:r>
        <w:rPr>
          <w:rFonts w:ascii="仿宋" w:eastAsia="仿宋" w:hAnsi="仿宋" w:cs="仿宋"/>
        </w:rPr>
        <w:lastRenderedPageBreak/>
        <w:t>业学位授权培育点建设工作，高质量完成材料整合和申报准备工作，获批学位点数量力争取得新突破。</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w:t>
      </w:r>
      <w:r>
        <w:rPr>
          <w:rFonts w:ascii="仿宋" w:eastAsia="仿宋" w:hAnsi="仿宋" w:cs="仿宋"/>
        </w:rPr>
        <w:t>着力提高重点学科建设水平。认真落实省教育厅</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省重点学科中期考核要求，突出学校学科优势与特色，全力做好相关重点学科考核组织工作，力争学校省级重点学科考核取得优异成绩。加快完善学校重点学科建设体系，加强校级</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重点学科培育与建设工作。完善学科管理与评价机制，实施动态调整机制，建设规范有序、更具活力的学科发展</w:t>
      </w:r>
      <w:r>
        <w:rPr>
          <w:rFonts w:ascii="仿宋" w:eastAsia="仿宋" w:hAnsi="仿宋" w:cs="仿宋"/>
        </w:rPr>
        <w:t>环境，构建优势特色鲜明、结构合理的学科生态系统。</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w:t>
      </w:r>
      <w:r>
        <w:rPr>
          <w:rFonts w:ascii="仿宋" w:eastAsia="仿宋" w:hAnsi="仿宋" w:cs="仿宋"/>
        </w:rPr>
        <w:t>着力推进学科交叉融合发展。坚持多学科协调发展，聚焦新工科、新文科、新职师等国家、区域发展战略人才需求，强化学科建设顶层设计、重点突破和创新发展，积极推进落实学科群建设计划。积极主动服务人工智能、新能源等产业发展需求，加强对重点学科、重点方向的投入力度，加快建设高级别重点实验室、协同创新中心、产业学院（研究院）等教科研平台，建设一批新型交叉学科研究平台。</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三、聚力质量立校，全面提高人才自主培养的能力</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w:t>
      </w:r>
      <w:r>
        <w:rPr>
          <w:rFonts w:ascii="仿宋" w:eastAsia="仿宋" w:hAnsi="仿宋" w:cs="仿宋"/>
        </w:rPr>
        <w:t>全面推进一流应用型本科人才培养。聚焦区域高质量发展需求，加快优化专业布局。调整专业人才培养方案。推进优秀基层教学组织建设工作，大力推进教学数字化工作。全力推进现代产业学院建设，构建校级、省级、国家级现代产业学院培育与建设体系。全力推进产教融合型品牌专业、一流课程与教材建设工作。持续推进课堂教学改革，打造具有学校特色的</w:t>
      </w:r>
      <w:r>
        <w:rPr>
          <w:rFonts w:ascii="仿宋" w:eastAsia="仿宋" w:hAnsi="仿宋" w:cs="仿宋"/>
        </w:rPr>
        <w:lastRenderedPageBreak/>
        <w:t>“</w:t>
      </w:r>
      <w:r>
        <w:rPr>
          <w:rFonts w:ascii="仿宋" w:eastAsia="仿宋" w:hAnsi="仿宋" w:cs="仿宋"/>
        </w:rPr>
        <w:t>金课</w:t>
      </w:r>
      <w:r>
        <w:rPr>
          <w:rFonts w:ascii="仿宋" w:eastAsia="仿宋" w:hAnsi="仿宋" w:cs="仿宋"/>
        </w:rPr>
        <w:t>”</w:t>
      </w:r>
      <w:r>
        <w:rPr>
          <w:rFonts w:ascii="仿宋" w:eastAsia="仿宋" w:hAnsi="仿宋" w:cs="仿宋"/>
        </w:rPr>
        <w:t>。落实特色教材建设改革实效，实现</w:t>
      </w:r>
      <w:r>
        <w:rPr>
          <w:rFonts w:ascii="仿宋" w:eastAsia="仿宋" w:hAnsi="仿宋" w:cs="仿宋"/>
        </w:rPr>
        <w:t>“</w:t>
      </w:r>
      <w:r>
        <w:rPr>
          <w:rFonts w:ascii="仿宋" w:eastAsia="仿宋" w:hAnsi="仿宋" w:cs="仿宋"/>
        </w:rPr>
        <w:t>马工程</w:t>
      </w:r>
      <w:r>
        <w:rPr>
          <w:rFonts w:ascii="仿宋" w:eastAsia="仿宋" w:hAnsi="仿宋" w:cs="仿宋"/>
        </w:rPr>
        <w:t>”</w:t>
      </w:r>
      <w:r>
        <w:rPr>
          <w:rFonts w:ascii="仿宋" w:eastAsia="仿宋" w:hAnsi="仿宋" w:cs="仿宋"/>
        </w:rPr>
        <w:t>教材使用的全覆盖。强化有组织实践创新活动，加强学生实践创新能力培养，修订完善学科竞赛奖励办法，力争国家级重要赛事实现新突破。扎实开展现代职</w:t>
      </w:r>
      <w:r>
        <w:rPr>
          <w:rFonts w:ascii="仿宋" w:eastAsia="仿宋" w:hAnsi="仿宋" w:cs="仿宋"/>
        </w:rPr>
        <w:t>教体系贯通培养项目过程管理工作。做好专业工程认证的跟进工作，协调推进本年度工程认证工作，做好下一年度工程教育专业认证申请准备工作。做好迎接本科教育教学审核评估各项工作。全力做好国家级教学成果奖申报和下一轮教学成果奖培育工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13.</w:t>
      </w:r>
      <w:r>
        <w:rPr>
          <w:rFonts w:ascii="仿宋" w:eastAsia="仿宋" w:hAnsi="仿宋" w:cs="仿宋"/>
        </w:rPr>
        <w:t>全面构建</w:t>
      </w:r>
      <w:r>
        <w:rPr>
          <w:rFonts w:ascii="仿宋" w:eastAsia="仿宋" w:hAnsi="仿宋" w:cs="仿宋"/>
        </w:rPr>
        <w:t>“</w:t>
      </w:r>
      <w:r>
        <w:rPr>
          <w:rFonts w:ascii="仿宋" w:eastAsia="仿宋" w:hAnsi="仿宋" w:cs="仿宋"/>
        </w:rPr>
        <w:t>五育并举</w:t>
      </w:r>
      <w:r>
        <w:rPr>
          <w:rFonts w:ascii="仿宋" w:eastAsia="仿宋" w:hAnsi="仿宋" w:cs="仿宋"/>
        </w:rPr>
        <w:t>”</w:t>
      </w:r>
      <w:r>
        <w:rPr>
          <w:rFonts w:ascii="仿宋" w:eastAsia="仿宋" w:hAnsi="仿宋" w:cs="仿宋"/>
        </w:rPr>
        <w:t>育人体系。积极推动理想信念教育常态化。进一步加强思政课程和课程思政建设，构建德育与智育有机统一的育人体系。积极践行健康第一理念，加强体育教学模式改革创新，推进美育与劳动教育教学改革与创新，建设美育与劳动教育基地和平台，充分发挥以体健人、以美化人、以劳育人功能。</w:t>
      </w:r>
      <w:r>
        <w:rPr>
          <w:rFonts w:ascii="仿宋" w:eastAsia="仿宋" w:hAnsi="仿宋" w:cs="仿宋"/>
        </w:rPr>
        <w:t>提高第二课堂有效性，切实增强</w:t>
      </w:r>
      <w:r>
        <w:rPr>
          <w:rFonts w:ascii="仿宋" w:eastAsia="仿宋" w:hAnsi="仿宋" w:cs="仿宋"/>
        </w:rPr>
        <w:t>“</w:t>
      </w:r>
      <w:r>
        <w:rPr>
          <w:rFonts w:ascii="仿宋" w:eastAsia="仿宋" w:hAnsi="仿宋" w:cs="仿宋"/>
        </w:rPr>
        <w:t>第二课堂成绩单</w:t>
      </w:r>
      <w:r>
        <w:rPr>
          <w:rFonts w:ascii="仿宋" w:eastAsia="仿宋" w:hAnsi="仿宋" w:cs="仿宋"/>
        </w:rPr>
        <w:t>”</w:t>
      </w:r>
      <w:r>
        <w:rPr>
          <w:rFonts w:ascii="仿宋" w:eastAsia="仿宋" w:hAnsi="仿宋" w:cs="仿宋"/>
        </w:rPr>
        <w:t>育人成效。</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14.</w:t>
      </w:r>
      <w:r>
        <w:rPr>
          <w:rFonts w:ascii="仿宋" w:eastAsia="仿宋" w:hAnsi="仿宋" w:cs="仿宋"/>
        </w:rPr>
        <w:t>全面推动学生工作的高质量发展。着力打造</w:t>
      </w:r>
      <w:r>
        <w:rPr>
          <w:rFonts w:ascii="仿宋" w:eastAsia="仿宋" w:hAnsi="仿宋" w:cs="仿宋"/>
        </w:rPr>
        <w:t>“</w:t>
      </w:r>
      <w:r>
        <w:rPr>
          <w:rFonts w:ascii="仿宋" w:eastAsia="仿宋" w:hAnsi="仿宋" w:cs="仿宋"/>
        </w:rPr>
        <w:t>立德树人</w:t>
      </w:r>
      <w:r>
        <w:rPr>
          <w:rFonts w:ascii="仿宋" w:eastAsia="仿宋" w:hAnsi="仿宋" w:cs="仿宋"/>
        </w:rPr>
        <w:t>•</w:t>
      </w:r>
      <w:r>
        <w:rPr>
          <w:rFonts w:ascii="仿宋" w:eastAsia="仿宋" w:hAnsi="仿宋" w:cs="仿宋"/>
        </w:rPr>
        <w:t>成长成才</w:t>
      </w:r>
      <w:r>
        <w:rPr>
          <w:rFonts w:ascii="仿宋" w:eastAsia="仿宋" w:hAnsi="仿宋" w:cs="仿宋"/>
        </w:rPr>
        <w:t>”</w:t>
      </w:r>
      <w:r>
        <w:rPr>
          <w:rFonts w:ascii="仿宋" w:eastAsia="仿宋" w:hAnsi="仿宋" w:cs="仿宋"/>
        </w:rPr>
        <w:t>工程</w:t>
      </w:r>
      <w:r>
        <w:rPr>
          <w:rFonts w:ascii="仿宋" w:eastAsia="仿宋" w:hAnsi="仿宋" w:cs="仿宋"/>
        </w:rPr>
        <w:t>2.0</w:t>
      </w:r>
      <w:r>
        <w:rPr>
          <w:rFonts w:ascii="仿宋" w:eastAsia="仿宋" w:hAnsi="仿宋" w:cs="仿宋"/>
        </w:rPr>
        <w:t>。统筹推进</w:t>
      </w:r>
      <w:r>
        <w:rPr>
          <w:rFonts w:ascii="仿宋" w:eastAsia="仿宋" w:hAnsi="仿宋" w:cs="仿宋"/>
        </w:rPr>
        <w:t>“</w:t>
      </w:r>
      <w:r>
        <w:rPr>
          <w:rFonts w:ascii="仿宋" w:eastAsia="仿宋" w:hAnsi="仿宋" w:cs="仿宋"/>
        </w:rPr>
        <w:t>一键式</w:t>
      </w:r>
      <w:r>
        <w:rPr>
          <w:rFonts w:ascii="仿宋" w:eastAsia="仿宋" w:hAnsi="仿宋" w:cs="仿宋"/>
        </w:rPr>
        <w:t>”</w:t>
      </w:r>
      <w:r>
        <w:rPr>
          <w:rFonts w:ascii="仿宋" w:eastAsia="仿宋" w:hAnsi="仿宋" w:cs="仿宋"/>
        </w:rPr>
        <w:t>管理、</w:t>
      </w:r>
      <w:r>
        <w:rPr>
          <w:rFonts w:ascii="仿宋" w:eastAsia="仿宋" w:hAnsi="仿宋" w:cs="仿宋"/>
        </w:rPr>
        <w:t>“</w:t>
      </w:r>
      <w:r>
        <w:rPr>
          <w:rFonts w:ascii="仿宋" w:eastAsia="仿宋" w:hAnsi="仿宋" w:cs="仿宋"/>
        </w:rPr>
        <w:t>一站式</w:t>
      </w:r>
      <w:r>
        <w:rPr>
          <w:rFonts w:ascii="仿宋" w:eastAsia="仿宋" w:hAnsi="仿宋" w:cs="仿宋"/>
        </w:rPr>
        <w:t>”</w:t>
      </w:r>
      <w:r>
        <w:rPr>
          <w:rFonts w:ascii="仿宋" w:eastAsia="仿宋" w:hAnsi="仿宋" w:cs="仿宋"/>
        </w:rPr>
        <w:t>服务、</w:t>
      </w:r>
      <w:r>
        <w:rPr>
          <w:rFonts w:ascii="仿宋" w:eastAsia="仿宋" w:hAnsi="仿宋" w:cs="仿宋"/>
        </w:rPr>
        <w:t>“</w:t>
      </w:r>
      <w:r>
        <w:rPr>
          <w:rFonts w:ascii="仿宋" w:eastAsia="仿宋" w:hAnsi="仿宋" w:cs="仿宋"/>
        </w:rPr>
        <w:t>一体式</w:t>
      </w:r>
      <w:r>
        <w:rPr>
          <w:rFonts w:ascii="仿宋" w:eastAsia="仿宋" w:hAnsi="仿宋" w:cs="仿宋"/>
        </w:rPr>
        <w:t>”</w:t>
      </w:r>
      <w:r>
        <w:rPr>
          <w:rFonts w:ascii="仿宋" w:eastAsia="仿宋" w:hAnsi="仿宋" w:cs="仿宋"/>
        </w:rPr>
        <w:t>教育、</w:t>
      </w:r>
      <w:r>
        <w:rPr>
          <w:rFonts w:ascii="仿宋" w:eastAsia="仿宋" w:hAnsi="仿宋" w:cs="仿宋"/>
        </w:rPr>
        <w:t>“</w:t>
      </w:r>
      <w:r>
        <w:rPr>
          <w:rFonts w:ascii="仿宋" w:eastAsia="仿宋" w:hAnsi="仿宋" w:cs="仿宋"/>
        </w:rPr>
        <w:t>一链式</w:t>
      </w:r>
      <w:r>
        <w:rPr>
          <w:rFonts w:ascii="仿宋" w:eastAsia="仿宋" w:hAnsi="仿宋" w:cs="仿宋"/>
        </w:rPr>
        <w:t>”</w:t>
      </w:r>
      <w:r>
        <w:rPr>
          <w:rFonts w:ascii="仿宋" w:eastAsia="仿宋" w:hAnsi="仿宋" w:cs="仿宋"/>
        </w:rPr>
        <w:t>引导的</w:t>
      </w:r>
      <w:r>
        <w:rPr>
          <w:rFonts w:ascii="仿宋" w:eastAsia="仿宋" w:hAnsi="仿宋" w:cs="仿宋"/>
        </w:rPr>
        <w:t>“</w:t>
      </w:r>
      <w:r>
        <w:rPr>
          <w:rFonts w:ascii="仿宋" w:eastAsia="仿宋" w:hAnsi="仿宋" w:cs="仿宋"/>
        </w:rPr>
        <w:t>四个一</w:t>
      </w:r>
      <w:r>
        <w:rPr>
          <w:rFonts w:ascii="仿宋" w:eastAsia="仿宋" w:hAnsi="仿宋" w:cs="仿宋"/>
        </w:rPr>
        <w:t>”</w:t>
      </w:r>
      <w:r>
        <w:rPr>
          <w:rFonts w:ascii="仿宋" w:eastAsia="仿宋" w:hAnsi="仿宋" w:cs="仿宋"/>
        </w:rPr>
        <w:t>学生工作体系创新。持续完善</w:t>
      </w:r>
      <w:r>
        <w:rPr>
          <w:rFonts w:ascii="仿宋" w:eastAsia="仿宋" w:hAnsi="仿宋" w:cs="仿宋"/>
        </w:rPr>
        <w:t>“</w:t>
      </w:r>
      <w:r>
        <w:rPr>
          <w:rFonts w:ascii="仿宋" w:eastAsia="仿宋" w:hAnsi="仿宋" w:cs="仿宋"/>
        </w:rPr>
        <w:t>四化协同</w:t>
      </w:r>
      <w:r>
        <w:rPr>
          <w:rFonts w:ascii="仿宋" w:eastAsia="仿宋" w:hAnsi="仿宋" w:cs="仿宋"/>
        </w:rPr>
        <w:t>”</w:t>
      </w:r>
      <w:r>
        <w:rPr>
          <w:rFonts w:ascii="仿宋" w:eastAsia="仿宋" w:hAnsi="仿宋" w:cs="仿宋"/>
        </w:rPr>
        <w:t>的大学生心理健康教育工作模式。进一步完善资助育人服务体系，提升资助育人实效。加强和改进国防教育，做好军训和征兵工作。创新和完善招生工作机制，做好</w:t>
      </w:r>
      <w:r>
        <w:rPr>
          <w:rFonts w:ascii="仿宋" w:eastAsia="仿宋" w:hAnsi="仿宋" w:cs="仿宋"/>
        </w:rPr>
        <w:t>2023</w:t>
      </w:r>
      <w:r>
        <w:rPr>
          <w:rFonts w:ascii="仿宋" w:eastAsia="仿宋" w:hAnsi="仿宋" w:cs="仿宋"/>
        </w:rPr>
        <w:t>年招生工作。完善</w:t>
      </w:r>
      <w:r>
        <w:rPr>
          <w:rFonts w:ascii="仿宋" w:eastAsia="仿宋" w:hAnsi="仿宋" w:cs="仿宋"/>
        </w:rPr>
        <w:t>“</w:t>
      </w:r>
      <w:r>
        <w:rPr>
          <w:rFonts w:ascii="仿宋" w:eastAsia="仿宋" w:hAnsi="仿宋" w:cs="仿宋"/>
        </w:rPr>
        <w:t>三全</w:t>
      </w:r>
      <w:r>
        <w:rPr>
          <w:rFonts w:ascii="仿宋" w:eastAsia="仿宋" w:hAnsi="仿宋" w:cs="仿宋"/>
        </w:rPr>
        <w:t>”</w:t>
      </w:r>
      <w:r>
        <w:rPr>
          <w:rFonts w:ascii="仿宋" w:eastAsia="仿宋" w:hAnsi="仿宋" w:cs="仿宋"/>
        </w:rPr>
        <w:t>就业创业指导服务体系，落实就业工作</w:t>
      </w:r>
      <w:r>
        <w:rPr>
          <w:rFonts w:ascii="仿宋" w:eastAsia="仿宋" w:hAnsi="仿宋" w:cs="仿宋"/>
        </w:rPr>
        <w:t>“</w:t>
      </w:r>
      <w:r>
        <w:rPr>
          <w:rFonts w:ascii="仿宋" w:eastAsia="仿宋" w:hAnsi="仿宋" w:cs="仿宋"/>
        </w:rPr>
        <w:t>一把手</w:t>
      </w:r>
      <w:r>
        <w:rPr>
          <w:rFonts w:ascii="仿宋" w:eastAsia="仿宋" w:hAnsi="仿宋" w:cs="仿宋"/>
        </w:rPr>
        <w:t>”</w:t>
      </w:r>
      <w:r>
        <w:rPr>
          <w:rFonts w:ascii="仿宋" w:eastAsia="仿宋" w:hAnsi="仿宋" w:cs="仿宋"/>
        </w:rPr>
        <w:t>工程，有力推进更加充分</w:t>
      </w:r>
      <w:r>
        <w:rPr>
          <w:rFonts w:ascii="仿宋" w:eastAsia="仿宋" w:hAnsi="仿宋" w:cs="仿宋"/>
        </w:rPr>
        <w:lastRenderedPageBreak/>
        <w:t>更高质量就业创</w:t>
      </w:r>
      <w:r>
        <w:rPr>
          <w:rFonts w:ascii="仿宋" w:eastAsia="仿宋" w:hAnsi="仿宋" w:cs="仿宋"/>
        </w:rPr>
        <w:t>业。持续推动辅导员职业化、专业化和专家化，加强辅导员工作室建设，促进辅导员职业能力现代化，努力建设高素质专业化的学生工作队伍。</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15.</w:t>
      </w:r>
      <w:r>
        <w:rPr>
          <w:rFonts w:ascii="仿宋" w:eastAsia="仿宋" w:hAnsi="仿宋" w:cs="仿宋"/>
        </w:rPr>
        <w:t>全面提升专业硕士研究生培养质量。扎实做好研究生思想政治教育工作。深化研究生培养模式改革与创新，加快构建高质量研究生教育体系。持续加强研究生导师队伍和优质教学资源建设。注重研究生学术创新能力提升，强化实践应用能力培养，设立专项经费支持。加快建立以教师自评为主，教学督导和研究生评教为辅的研究生教学评价机制。深入推进校企联合培养机制建设。扎实做好研究生招生就业工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四、聚力人才强</w:t>
      </w:r>
      <w:r>
        <w:rPr>
          <w:rFonts w:ascii="仿宋" w:eastAsia="仿宋" w:hAnsi="仿宋" w:cs="仿宋"/>
        </w:rPr>
        <w:t>校，加快建设专业人才与师资队伍</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16.</w:t>
      </w:r>
      <w:r>
        <w:rPr>
          <w:rFonts w:ascii="仿宋" w:eastAsia="仿宋" w:hAnsi="仿宋" w:cs="仿宋"/>
        </w:rPr>
        <w:t>加快建设师德师风长效机制。推进师德建设常态化规范化，落实师德师风建设责任制，召开年度师德建设工作推进会。广泛开展师德宣传教育活动，激励广大教师争做</w:t>
      </w:r>
      <w:r>
        <w:rPr>
          <w:rFonts w:ascii="仿宋" w:eastAsia="仿宋" w:hAnsi="仿宋" w:cs="仿宋"/>
        </w:rPr>
        <w:t>“</w:t>
      </w:r>
      <w:r>
        <w:rPr>
          <w:rFonts w:ascii="仿宋" w:eastAsia="仿宋" w:hAnsi="仿宋" w:cs="仿宋"/>
        </w:rPr>
        <w:t>四有</w:t>
      </w:r>
      <w:r>
        <w:rPr>
          <w:rFonts w:ascii="仿宋" w:eastAsia="仿宋" w:hAnsi="仿宋" w:cs="仿宋"/>
        </w:rPr>
        <w:t>”</w:t>
      </w:r>
      <w:r>
        <w:rPr>
          <w:rFonts w:ascii="仿宋" w:eastAsia="仿宋" w:hAnsi="仿宋" w:cs="仿宋"/>
        </w:rPr>
        <w:t>好老师。进一步完善监督预警机制，构建多方参与的师德监督体系。落实排查承诺机制，定期开展对标对表的师德师风排查工作。抓实考核评价机制，从严落实师德师风</w:t>
      </w:r>
      <w:r>
        <w:rPr>
          <w:rFonts w:ascii="仿宋" w:eastAsia="仿宋" w:hAnsi="仿宋" w:cs="仿宋"/>
        </w:rPr>
        <w:t>“</w:t>
      </w:r>
      <w:r>
        <w:rPr>
          <w:rFonts w:ascii="仿宋" w:eastAsia="仿宋" w:hAnsi="仿宋" w:cs="仿宋"/>
        </w:rPr>
        <w:t>一票否决</w:t>
      </w:r>
      <w:r>
        <w:rPr>
          <w:rFonts w:ascii="仿宋" w:eastAsia="仿宋" w:hAnsi="仿宋" w:cs="仿宋"/>
        </w:rPr>
        <w:t>”</w:t>
      </w:r>
      <w:r>
        <w:rPr>
          <w:rFonts w:ascii="仿宋" w:eastAsia="仿宋" w:hAnsi="仿宋" w:cs="仿宋"/>
        </w:rPr>
        <w:t>。</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17.</w:t>
      </w:r>
      <w:r>
        <w:rPr>
          <w:rFonts w:ascii="仿宋" w:eastAsia="仿宋" w:hAnsi="仿宋" w:cs="仿宋"/>
        </w:rPr>
        <w:t>加快推进高层次人才队伍建设。完善精准引才机制，围绕重点学科、重要平台、重大项目引进高端人才，打造人才服务特区。优化精细育才机制，推进和完善中吴青年创新</w:t>
      </w:r>
      <w:r>
        <w:rPr>
          <w:rFonts w:ascii="仿宋" w:eastAsia="仿宋" w:hAnsi="仿宋" w:cs="仿宋"/>
        </w:rPr>
        <w:t>人才支持计划，加快培育和培养青年人才，大力实施校级教学名师（培养人选）等人才项目。持续加强高层次人才引进力度。</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18.</w:t>
      </w:r>
      <w:r>
        <w:rPr>
          <w:rFonts w:ascii="仿宋" w:eastAsia="仿宋" w:hAnsi="仿宋" w:cs="仿宋"/>
        </w:rPr>
        <w:t>加快优化专业师资队伍结构。完善分层分类教师培训服</w:t>
      </w:r>
      <w:r>
        <w:rPr>
          <w:rFonts w:ascii="仿宋" w:eastAsia="仿宋" w:hAnsi="仿宋" w:cs="仿宋"/>
        </w:rPr>
        <w:lastRenderedPageBreak/>
        <w:t>务体系，统筹安排各类短期培训，选派教师进行课程与教学论专业培训。做强做优</w:t>
      </w:r>
      <w:r>
        <w:rPr>
          <w:rFonts w:ascii="仿宋" w:eastAsia="仿宋" w:hAnsi="仿宋" w:cs="仿宋"/>
        </w:rPr>
        <w:t>“</w:t>
      </w:r>
      <w:r>
        <w:rPr>
          <w:rFonts w:ascii="仿宋" w:eastAsia="仿宋" w:hAnsi="仿宋" w:cs="仿宋"/>
        </w:rPr>
        <w:t>双师型</w:t>
      </w:r>
      <w:r>
        <w:rPr>
          <w:rFonts w:ascii="仿宋" w:eastAsia="仿宋" w:hAnsi="仿宋" w:cs="仿宋"/>
        </w:rPr>
        <w:t>”</w:t>
      </w:r>
      <w:r>
        <w:rPr>
          <w:rFonts w:ascii="仿宋" w:eastAsia="仿宋" w:hAnsi="仿宋" w:cs="仿宋"/>
        </w:rPr>
        <w:t>教师队伍建设，探索</w:t>
      </w:r>
      <w:r>
        <w:rPr>
          <w:rFonts w:ascii="仿宋" w:eastAsia="仿宋" w:hAnsi="仿宋" w:cs="仿宋"/>
        </w:rPr>
        <w:t>“</w:t>
      </w:r>
      <w:r>
        <w:rPr>
          <w:rFonts w:ascii="仿宋" w:eastAsia="仿宋" w:hAnsi="仿宋" w:cs="仿宋"/>
        </w:rPr>
        <w:t>双师型</w:t>
      </w:r>
      <w:r>
        <w:rPr>
          <w:rFonts w:ascii="仿宋" w:eastAsia="仿宋" w:hAnsi="仿宋" w:cs="仿宋"/>
        </w:rPr>
        <w:t>”</w:t>
      </w:r>
      <w:r>
        <w:rPr>
          <w:rFonts w:ascii="仿宋" w:eastAsia="仿宋" w:hAnsi="仿宋" w:cs="仿宋"/>
        </w:rPr>
        <w:t>教师激励政策。鼓励教师从事学术访问、攻读博士学位、进行博士后研究、境外研修。</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19.</w:t>
      </w:r>
      <w:r>
        <w:rPr>
          <w:rFonts w:ascii="仿宋" w:eastAsia="仿宋" w:hAnsi="仿宋" w:cs="仿宋"/>
        </w:rPr>
        <w:t>加快推进人事制度改革创新。认真贯彻落实《事业单位工作人员考核规定》要求。系统推进岗位聘任、职称评聘、考核评价、薪酬分配等人事制度改革。稳步推进岗位聘任工</w:t>
      </w:r>
      <w:r>
        <w:rPr>
          <w:rFonts w:ascii="仿宋" w:eastAsia="仿宋" w:hAnsi="仿宋" w:cs="仿宋"/>
        </w:rPr>
        <w:t>作，做好新一轮岗位聘用实施工作。深化聘用制度改革，推进人才评价体系建设，探索实施职员制聘任制度，全面优化人才发展环境，激发人才创新活力。</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五、聚力科研优校，积极建构助推赋能增效新机制</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w:t>
      </w:r>
      <w:r>
        <w:rPr>
          <w:rFonts w:ascii="仿宋" w:eastAsia="仿宋" w:hAnsi="仿宋" w:cs="仿宋"/>
        </w:rPr>
        <w:t>积极开展有组织的科学研究。瞄准国家重大战略需求和地方产业发展需要，主动融入产业创新链，优化学校科技资源配置，培育国家和省部级重大（重点）科研项目、重大横向项目，形成解决产业发展瓶颈问题的重大成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21.</w:t>
      </w:r>
      <w:r>
        <w:rPr>
          <w:rFonts w:ascii="仿宋" w:eastAsia="仿宋" w:hAnsi="仿宋" w:cs="仿宋"/>
        </w:rPr>
        <w:t>积极建构高水平的科技创新团队。出台科技创新团队管理办法，促进学科与地方产业精准对接，深化校企产学研深度合作。以推动科研</w:t>
      </w:r>
      <w:r>
        <w:rPr>
          <w:rFonts w:ascii="仿宋" w:eastAsia="仿宋" w:hAnsi="仿宋" w:cs="仿宋"/>
        </w:rPr>
        <w:t>创新为核心，以整合科研方向和培育科研特色为目标，建设一批高水平科技创新团队。实施高水平团队</w:t>
      </w:r>
      <w:r>
        <w:rPr>
          <w:rFonts w:ascii="仿宋" w:eastAsia="仿宋" w:hAnsi="仿宋" w:cs="仿宋"/>
        </w:rPr>
        <w:t>“</w:t>
      </w:r>
      <w:r>
        <w:rPr>
          <w:rFonts w:ascii="仿宋" w:eastAsia="仿宋" w:hAnsi="仿宋" w:cs="仿宋"/>
        </w:rPr>
        <w:t>揭榜挂帅</w:t>
      </w:r>
      <w:r>
        <w:rPr>
          <w:rFonts w:ascii="仿宋" w:eastAsia="仿宋" w:hAnsi="仿宋" w:cs="仿宋"/>
        </w:rPr>
        <w:t>”</w:t>
      </w:r>
      <w:r>
        <w:rPr>
          <w:rFonts w:ascii="仿宋" w:eastAsia="仿宋" w:hAnsi="仿宋" w:cs="仿宋"/>
        </w:rPr>
        <w:t>工程。聚焦产业技术发展需求，培育高层次科研项目、高水平科研成果和高级别科研平台，培养优秀学术带头人及科技领军人才。优化团队遴选机制，健全科研团队评价机制。</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22.</w:t>
      </w:r>
      <w:r>
        <w:rPr>
          <w:rFonts w:ascii="仿宋" w:eastAsia="仿宋" w:hAnsi="仿宋" w:cs="仿宋"/>
        </w:rPr>
        <w:t>积极建构高层次的科研创新平台。引导已有科技创新平台差异化发展，注重与行业企业、研究机构和地方政府的合作交流，积极参与国家、省、市重点实验室等科研平台的重构与重建。优化资源配置，实现资源共享，合力推动学校高水平科研平台的获批。完善考核机制，激发科研平</w:t>
      </w:r>
      <w:r>
        <w:rPr>
          <w:rFonts w:ascii="仿宋" w:eastAsia="仿宋" w:hAnsi="仿宋" w:cs="仿宋"/>
        </w:rPr>
        <w:t>台创新活力，提升平台综合实力。加强研究所（中心）等科研平台及智库人才培育的规划建设。修订《江苏理工学院平台及智库建设管理办法》，加大对校研究平台及智库的经费投入，积极培育江苏省社科研究基地、高校哲学社会科学重点研究基地。加大江苏省职业教育决策咨询重点研究基地的建设力度。进一步加强《职教通讯》等学术期刊建设。</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六、聚力特色兴校，系统实施新职师教育行动计划</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23.</w:t>
      </w:r>
      <w:r>
        <w:rPr>
          <w:rFonts w:ascii="仿宋" w:eastAsia="仿宋" w:hAnsi="仿宋" w:cs="仿宋"/>
        </w:rPr>
        <w:t>做实新职师教育特色学院。全面推进江苏省唯一的职教教师教育协同创新实验区建设。集聚新职师培养新优势，推进本硕一体化培养体系建设，强化炎培学院高层次职教师</w:t>
      </w:r>
      <w:r>
        <w:rPr>
          <w:rFonts w:ascii="仿宋" w:eastAsia="仿宋" w:hAnsi="仿宋" w:cs="仿宋"/>
        </w:rPr>
        <w:t>资培养特色。全面修订</w:t>
      </w:r>
      <w:r>
        <w:rPr>
          <w:rFonts w:ascii="仿宋" w:eastAsia="仿宋" w:hAnsi="仿宋" w:cs="仿宋"/>
        </w:rPr>
        <w:t>2023</w:t>
      </w:r>
      <w:r>
        <w:rPr>
          <w:rFonts w:ascii="仿宋" w:eastAsia="仿宋" w:hAnsi="仿宋" w:cs="仿宋"/>
        </w:rPr>
        <w:t>级人才培养方案职师模块。加强职教教师教育课程建设，启动本硕一体化教材编撰工作，建设本硕一体化新职师教育课程资源。高质量完成职教硕士招生考试工作，制订</w:t>
      </w:r>
      <w:r>
        <w:rPr>
          <w:rFonts w:ascii="仿宋" w:eastAsia="仿宋" w:hAnsi="仿宋" w:cs="仿宋"/>
        </w:rPr>
        <w:t>2023</w:t>
      </w:r>
      <w:r>
        <w:rPr>
          <w:rFonts w:ascii="仿宋" w:eastAsia="仿宋" w:hAnsi="仿宋" w:cs="仿宋"/>
        </w:rPr>
        <w:t>级研究生人才培养方案。深化与培养实践基地合作，启动职教硕士学徒制培养，建立学徒制培养管理制度。</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24.</w:t>
      </w:r>
      <w:r>
        <w:rPr>
          <w:rFonts w:ascii="仿宋" w:eastAsia="仿宋" w:hAnsi="仿宋" w:cs="仿宋"/>
        </w:rPr>
        <w:t>做强新职师教育研究高地。成立职教教师教育高端咨询委员会，打造职教教师教育国家级智库。推动形成以校级项目为基础、省部级项目为主体、国家级项目为引领的新职师教育</w:t>
      </w:r>
      <w:r>
        <w:rPr>
          <w:rFonts w:ascii="仿宋" w:eastAsia="仿宋" w:hAnsi="仿宋" w:cs="仿宋"/>
        </w:rPr>
        <w:lastRenderedPageBreak/>
        <w:t>研究格局。定期举办长三角职教教师教育高峰论坛等高层次学术活动，扩大新职</w:t>
      </w:r>
      <w:r>
        <w:rPr>
          <w:rFonts w:ascii="仿宋" w:eastAsia="仿宋" w:hAnsi="仿宋" w:cs="仿宋"/>
        </w:rPr>
        <w:t>师教育研究学术影响力，形成集聚示范效应。积极储备研究人才资源，建强新职师卓越团队。创新搭建特色鲜明、有影响力的研究平台，积极承办</w:t>
      </w:r>
      <w:r>
        <w:rPr>
          <w:rFonts w:ascii="仿宋" w:eastAsia="仿宋" w:hAnsi="仿宋" w:cs="仿宋"/>
        </w:rPr>
        <w:t>2023</w:t>
      </w:r>
      <w:r>
        <w:rPr>
          <w:rFonts w:ascii="仿宋" w:eastAsia="仿宋" w:hAnsi="仿宋" w:cs="仿宋"/>
        </w:rPr>
        <w:t>江苏职业教育高质量发展论坛，助力江苏职业教育高质量发展。</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25.</w:t>
      </w:r>
      <w:r>
        <w:rPr>
          <w:rFonts w:ascii="仿宋" w:eastAsia="仿宋" w:hAnsi="仿宋" w:cs="仿宋"/>
        </w:rPr>
        <w:t>做优新职师教育培训品牌。组织实施验收首批国家和省级教学创新团队工作。加强</w:t>
      </w:r>
      <w:r>
        <w:rPr>
          <w:rFonts w:ascii="仿宋" w:eastAsia="仿宋" w:hAnsi="仿宋" w:cs="仿宋"/>
        </w:rPr>
        <w:t>“</w:t>
      </w:r>
      <w:r>
        <w:rPr>
          <w:rFonts w:ascii="仿宋" w:eastAsia="仿宋" w:hAnsi="仿宋" w:cs="仿宋"/>
        </w:rPr>
        <w:t>双师型</w:t>
      </w:r>
      <w:r>
        <w:rPr>
          <w:rFonts w:ascii="仿宋" w:eastAsia="仿宋" w:hAnsi="仿宋" w:cs="仿宋"/>
        </w:rPr>
        <w:t>”</w:t>
      </w:r>
      <w:r>
        <w:rPr>
          <w:rFonts w:ascii="仿宋" w:eastAsia="仿宋" w:hAnsi="仿宋" w:cs="仿宋"/>
        </w:rPr>
        <w:t>名师工作室和省级技艺技能传承创新平台的过程管理、中期检查以及培育团队的建设工作。开展全省职业教育</w:t>
      </w:r>
      <w:r>
        <w:rPr>
          <w:rFonts w:ascii="仿宋" w:eastAsia="仿宋" w:hAnsi="仿宋" w:cs="仿宋"/>
        </w:rPr>
        <w:t>“</w:t>
      </w:r>
      <w:r>
        <w:rPr>
          <w:rFonts w:ascii="仿宋" w:eastAsia="仿宋" w:hAnsi="仿宋" w:cs="仿宋"/>
        </w:rPr>
        <w:t>双师型</w:t>
      </w:r>
      <w:r>
        <w:rPr>
          <w:rFonts w:ascii="仿宋" w:eastAsia="仿宋" w:hAnsi="仿宋" w:cs="仿宋"/>
        </w:rPr>
        <w:t>”</w:t>
      </w:r>
      <w:r>
        <w:rPr>
          <w:rFonts w:ascii="仿宋" w:eastAsia="仿宋" w:hAnsi="仿宋" w:cs="仿宋"/>
        </w:rPr>
        <w:t>教师认定工作。继续实施新教师岗前综合能力提升培训项目，举办第七届</w:t>
      </w:r>
      <w:r>
        <w:rPr>
          <w:rFonts w:ascii="仿宋" w:eastAsia="仿宋" w:hAnsi="仿宋" w:cs="仿宋"/>
        </w:rPr>
        <w:t>“</w:t>
      </w:r>
      <w:r>
        <w:rPr>
          <w:rFonts w:ascii="仿宋" w:eastAsia="仿宋" w:hAnsi="仿宋" w:cs="仿宋"/>
        </w:rPr>
        <w:t>启航杯</w:t>
      </w:r>
      <w:r>
        <w:rPr>
          <w:rFonts w:ascii="仿宋" w:eastAsia="仿宋" w:hAnsi="仿宋" w:cs="仿宋"/>
        </w:rPr>
        <w:t>”</w:t>
      </w:r>
      <w:r>
        <w:rPr>
          <w:rFonts w:ascii="仿宋" w:eastAsia="仿宋" w:hAnsi="仿宋" w:cs="仿宋"/>
        </w:rPr>
        <w:t>高职院校新教师教学竞赛。做好从项目开发到项目评价的</w:t>
      </w:r>
      <w:r>
        <w:rPr>
          <w:rFonts w:ascii="仿宋" w:eastAsia="仿宋" w:hAnsi="仿宋" w:cs="仿宋"/>
        </w:rPr>
        <w:t>全过程培训项目管理工作，高质量落实省内外高职教师年度培训任务。开展高职教师培训评价，编制《江苏省高职教师培训质量年度报告》。</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七、聚力文化润校，整体建设更高品质的幸福校园</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26.</w:t>
      </w:r>
      <w:r>
        <w:rPr>
          <w:rFonts w:ascii="仿宋" w:eastAsia="仿宋" w:hAnsi="仿宋" w:cs="仿宋"/>
        </w:rPr>
        <w:t>整体建设富有特色的校园文化。坚持用习近平新时代中国特色社会主义思想培根铸魂，把培育和践行社会主义核心价值观融入学校教育教学全过程。将伟大建党精神融入校园文化建设，深入打造</w:t>
      </w:r>
      <w:r>
        <w:rPr>
          <w:rFonts w:ascii="仿宋" w:eastAsia="仿宋" w:hAnsi="仿宋" w:cs="仿宋"/>
        </w:rPr>
        <w:t>“</w:t>
      </w:r>
      <w:r>
        <w:rPr>
          <w:rFonts w:ascii="仿宋" w:eastAsia="仿宋" w:hAnsi="仿宋" w:cs="仿宋"/>
        </w:rPr>
        <w:t>常州三杰</w:t>
      </w:r>
      <w:r>
        <w:rPr>
          <w:rFonts w:ascii="仿宋" w:eastAsia="仿宋" w:hAnsi="仿宋" w:cs="仿宋"/>
        </w:rPr>
        <w:t>”</w:t>
      </w:r>
      <w:r>
        <w:rPr>
          <w:rFonts w:ascii="仿宋" w:eastAsia="仿宋" w:hAnsi="仿宋" w:cs="仿宋"/>
        </w:rPr>
        <w:t>文创品牌，积极推进红色文化建设。丰富师生校园文化活动内涵，开展</w:t>
      </w:r>
      <w:r>
        <w:rPr>
          <w:rFonts w:ascii="仿宋" w:eastAsia="仿宋" w:hAnsi="仿宋" w:cs="仿宋"/>
        </w:rPr>
        <w:t>“</w:t>
      </w:r>
      <w:r>
        <w:rPr>
          <w:rFonts w:ascii="仿宋" w:eastAsia="仿宋" w:hAnsi="仿宋" w:cs="仿宋"/>
        </w:rPr>
        <w:t>红色电影进校园</w:t>
      </w:r>
      <w:r>
        <w:rPr>
          <w:rFonts w:ascii="仿宋" w:eastAsia="仿宋" w:hAnsi="仿宋" w:cs="仿宋"/>
        </w:rPr>
        <w:t>”“</w:t>
      </w:r>
      <w:r>
        <w:rPr>
          <w:rFonts w:ascii="仿宋" w:eastAsia="仿宋" w:hAnsi="仿宋" w:cs="仿宋"/>
        </w:rPr>
        <w:t>高雅艺术进校园</w:t>
      </w:r>
      <w:r>
        <w:rPr>
          <w:rFonts w:ascii="仿宋" w:eastAsia="仿宋" w:hAnsi="仿宋" w:cs="仿宋"/>
        </w:rPr>
        <w:t>”</w:t>
      </w:r>
      <w:r>
        <w:rPr>
          <w:rFonts w:ascii="仿宋" w:eastAsia="仿宋" w:hAnsi="仿宋" w:cs="仿宋"/>
        </w:rPr>
        <w:t>等活动，深入打造</w:t>
      </w:r>
      <w:r>
        <w:rPr>
          <w:rFonts w:ascii="仿宋" w:eastAsia="仿宋" w:hAnsi="仿宋" w:cs="仿宋"/>
        </w:rPr>
        <w:t>“</w:t>
      </w:r>
      <w:r>
        <w:rPr>
          <w:rFonts w:ascii="仿宋" w:eastAsia="仿宋" w:hAnsi="仿宋" w:cs="仿宋"/>
        </w:rPr>
        <w:t>中吴讲堂</w:t>
      </w:r>
      <w:r>
        <w:rPr>
          <w:rFonts w:ascii="仿宋" w:eastAsia="仿宋" w:hAnsi="仿宋" w:cs="仿宋"/>
        </w:rPr>
        <w:t>”“</w:t>
      </w:r>
      <w:r>
        <w:rPr>
          <w:rFonts w:ascii="仿宋" w:eastAsia="仿宋" w:hAnsi="仿宋" w:cs="仿宋"/>
        </w:rPr>
        <w:t>职师之声</w:t>
      </w:r>
      <w:r>
        <w:rPr>
          <w:rFonts w:ascii="仿宋" w:eastAsia="仿宋" w:hAnsi="仿宋" w:cs="仿宋"/>
        </w:rPr>
        <w:t>”“</w:t>
      </w:r>
      <w:r>
        <w:rPr>
          <w:rFonts w:ascii="仿宋" w:eastAsia="仿宋" w:hAnsi="仿宋" w:cs="仿宋"/>
        </w:rPr>
        <w:t>中华经典诵读</w:t>
      </w:r>
      <w:r>
        <w:rPr>
          <w:rFonts w:ascii="仿宋" w:eastAsia="仿宋" w:hAnsi="仿宋" w:cs="仿宋"/>
        </w:rPr>
        <w:t>”</w:t>
      </w:r>
      <w:r>
        <w:rPr>
          <w:rFonts w:ascii="仿宋" w:eastAsia="仿宋" w:hAnsi="仿宋" w:cs="仿宋"/>
        </w:rPr>
        <w:t>等校园文化精品。系统加强名人文化、职师文化研究与建设，形成特色鲜明的校园文化品牌。深</w:t>
      </w:r>
      <w:r>
        <w:rPr>
          <w:rFonts w:ascii="仿宋" w:eastAsia="仿宋" w:hAnsi="仿宋" w:cs="仿宋"/>
        </w:rPr>
        <w:lastRenderedPageBreak/>
        <w:t>化校训内涵，凝练大学精神。巩固和深化文明校园创建成果。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27.</w:t>
      </w:r>
      <w:r>
        <w:rPr>
          <w:rFonts w:ascii="仿宋" w:eastAsia="仿宋" w:hAnsi="仿宋" w:cs="仿宋"/>
        </w:rPr>
        <w:t>整体增强师生的获得感幸福感。完善薪酬分配机制。进一步完善</w:t>
      </w:r>
      <w:r>
        <w:rPr>
          <w:rFonts w:ascii="仿宋" w:eastAsia="仿宋" w:hAnsi="仿宋" w:cs="仿宋"/>
        </w:rPr>
        <w:t>“</w:t>
      </w:r>
      <w:r>
        <w:rPr>
          <w:rFonts w:ascii="仿宋" w:eastAsia="仿宋" w:hAnsi="仿宋" w:cs="仿宋"/>
        </w:rPr>
        <w:t>我为师生办实事</w:t>
      </w:r>
      <w:r>
        <w:rPr>
          <w:rFonts w:ascii="仿宋" w:eastAsia="仿宋" w:hAnsi="仿宋" w:cs="仿宋"/>
        </w:rPr>
        <w:t>”</w:t>
      </w:r>
      <w:r>
        <w:rPr>
          <w:rFonts w:ascii="仿宋" w:eastAsia="仿宋" w:hAnsi="仿宋" w:cs="仿宋"/>
        </w:rPr>
        <w:t>常态化长效机制，深入开展</w:t>
      </w:r>
      <w:r>
        <w:rPr>
          <w:rFonts w:ascii="仿宋" w:eastAsia="仿宋" w:hAnsi="仿宋" w:cs="仿宋"/>
        </w:rPr>
        <w:t>“</w:t>
      </w:r>
      <w:r>
        <w:rPr>
          <w:rFonts w:ascii="仿宋" w:eastAsia="仿宋" w:hAnsi="仿宋" w:cs="仿宋"/>
        </w:rPr>
        <w:t>三创三建</w:t>
      </w:r>
      <w:r>
        <w:rPr>
          <w:rFonts w:ascii="仿宋" w:eastAsia="仿宋" w:hAnsi="仿宋" w:cs="仿宋"/>
        </w:rPr>
        <w:t>”</w:t>
      </w:r>
      <w:r>
        <w:rPr>
          <w:rFonts w:ascii="仿宋" w:eastAsia="仿宋" w:hAnsi="仿宋" w:cs="仿宋"/>
        </w:rPr>
        <w:t>服务育人教育实践活动，满足广大师生对校园美好生活的向往追求。持续开展</w:t>
      </w:r>
      <w:r>
        <w:rPr>
          <w:rFonts w:ascii="仿宋" w:eastAsia="仿宋" w:hAnsi="仿宋" w:cs="仿宋"/>
        </w:rPr>
        <w:t>“</w:t>
      </w:r>
      <w:r>
        <w:rPr>
          <w:rFonts w:ascii="仿宋" w:eastAsia="仿宋" w:hAnsi="仿宋" w:cs="仿宋"/>
        </w:rPr>
        <w:t>优质服务月</w:t>
      </w:r>
      <w:r>
        <w:rPr>
          <w:rFonts w:ascii="仿宋" w:eastAsia="仿宋" w:hAnsi="仿宋" w:cs="仿宋"/>
        </w:rPr>
        <w:t>”</w:t>
      </w:r>
      <w:r>
        <w:rPr>
          <w:rFonts w:ascii="仿宋" w:eastAsia="仿宋" w:hAnsi="仿宋" w:cs="仿宋"/>
        </w:rPr>
        <w:t>活动，提升后勤服务品质。规范和加强学生食堂管理，落实学生食堂公益性要求。关爱离退休教职工，做好困难教职工和困难党员帮扶工作。做好大病互助、教职工福利、走访慰问等服务工作。加</w:t>
      </w:r>
      <w:r>
        <w:rPr>
          <w:rFonts w:ascii="仿宋" w:eastAsia="仿宋" w:hAnsi="仿宋" w:cs="仿宋"/>
        </w:rPr>
        <w:t>大健康服务宣传和传染病防控力度。</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28.</w:t>
      </w:r>
      <w:r>
        <w:rPr>
          <w:rFonts w:ascii="仿宋" w:eastAsia="仿宋" w:hAnsi="仿宋" w:cs="仿宋"/>
        </w:rPr>
        <w:t>整体建设文明和谐的安全校园。科学精准做好新阶段校园疫情防控工作，加强校园健康驿站建设，提升医疗健康服务能力。全面增强风险防范化解能力，保障财务安全和国有资产安全，加强和改进保密工作，增强国家安全意识，筑牢意识形态防线。积极开展预算编制执行和财务收支审计，扎实推进审计发现问题整改落实。优化实验室安全管理体系，完善相关工作流程，确保实验室安全。做好师生安全教育宣传和校园安全隐患排查整顿工作。持续做好师生消防安全教育和培训。加强网络安全审查，坚守网络安全底线。</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八、聚力依法治校，持续实现内部治理能力现代化</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29.</w:t>
      </w:r>
      <w:r>
        <w:rPr>
          <w:rFonts w:ascii="仿宋" w:eastAsia="仿宋" w:hAnsi="仿宋" w:cs="仿宋"/>
        </w:rPr>
        <w:t>持续推动关键领域的综合改革创新。贯彻落实《新时代教育评价改革实施方案》，持续推动《校院两级管理体制改革实施方案》等专项改革方案的落实，积极推进</w:t>
      </w:r>
      <w:r>
        <w:rPr>
          <w:rFonts w:ascii="仿宋" w:eastAsia="仿宋" w:hAnsi="仿宋" w:cs="仿宋"/>
        </w:rPr>
        <w:t>“</w:t>
      </w:r>
      <w:r>
        <w:rPr>
          <w:rFonts w:ascii="仿宋" w:eastAsia="仿宋" w:hAnsi="仿宋" w:cs="仿宋"/>
        </w:rPr>
        <w:t>学院办大学</w:t>
      </w:r>
      <w:r>
        <w:rPr>
          <w:rFonts w:ascii="仿宋" w:eastAsia="仿宋" w:hAnsi="仿宋" w:cs="仿宋"/>
        </w:rPr>
        <w:t>”</w:t>
      </w:r>
      <w:r>
        <w:rPr>
          <w:rFonts w:ascii="仿宋" w:eastAsia="仿宋" w:hAnsi="仿宋" w:cs="仿宋"/>
        </w:rPr>
        <w:t>。加强和改进有组织教研与科研，进一步完善教科研激励</w:t>
      </w:r>
      <w:r>
        <w:rPr>
          <w:rFonts w:ascii="仿宋" w:eastAsia="仿宋" w:hAnsi="仿宋" w:cs="仿宋"/>
        </w:rPr>
        <w:lastRenderedPageBreak/>
        <w:t>评价体系。健全立德树人落实机制，强化德智体美劳过程性评价，完善综合素质评价体系。进一步完善年度综合考核办法。持续推进校属企业体制改革。</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30.</w:t>
      </w:r>
      <w:r>
        <w:rPr>
          <w:rFonts w:ascii="仿宋" w:eastAsia="仿宋" w:hAnsi="仿宋" w:cs="仿宋"/>
        </w:rPr>
        <w:t>持续落实</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发展规划任务。全力推进学校</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规划和专项规划任务落实，以实干实效将规划</w:t>
      </w:r>
      <w:r>
        <w:rPr>
          <w:rFonts w:ascii="仿宋" w:eastAsia="仿宋" w:hAnsi="仿宋" w:cs="仿宋"/>
        </w:rPr>
        <w:t>“</w:t>
      </w:r>
      <w:r>
        <w:rPr>
          <w:rFonts w:ascii="仿宋" w:eastAsia="仿宋" w:hAnsi="仿宋" w:cs="仿宋"/>
        </w:rPr>
        <w:t>施工图</w:t>
      </w:r>
      <w:r>
        <w:rPr>
          <w:rFonts w:ascii="仿宋" w:eastAsia="仿宋" w:hAnsi="仿宋" w:cs="仿宋"/>
        </w:rPr>
        <w:t>”</w:t>
      </w:r>
      <w:r>
        <w:rPr>
          <w:rFonts w:ascii="仿宋" w:eastAsia="仿宋" w:hAnsi="仿宋" w:cs="仿宋"/>
        </w:rPr>
        <w:t>变为</w:t>
      </w:r>
      <w:r>
        <w:rPr>
          <w:rFonts w:ascii="仿宋" w:eastAsia="仿宋" w:hAnsi="仿宋" w:cs="仿宋"/>
        </w:rPr>
        <w:t>“</w:t>
      </w:r>
      <w:r>
        <w:rPr>
          <w:rFonts w:ascii="仿宋" w:eastAsia="仿宋" w:hAnsi="仿宋" w:cs="仿宋"/>
        </w:rPr>
        <w:t>实</w:t>
      </w:r>
      <w:r>
        <w:rPr>
          <w:rFonts w:ascii="仿宋" w:eastAsia="仿宋" w:hAnsi="仿宋" w:cs="仿宋"/>
        </w:rPr>
        <w:t>景画</w:t>
      </w:r>
      <w:r>
        <w:rPr>
          <w:rFonts w:ascii="仿宋" w:eastAsia="仿宋" w:hAnsi="仿宋" w:cs="仿宋"/>
        </w:rPr>
        <w:t>”</w:t>
      </w:r>
      <w:r>
        <w:rPr>
          <w:rFonts w:ascii="仿宋" w:eastAsia="仿宋" w:hAnsi="仿宋" w:cs="仿宋"/>
        </w:rPr>
        <w:t>。强化规划执行督查力度，明确时间表、优化路线图、细化任务书，做好规划执行情况中期检查和调整，适时优化总体规划和专项规划布局。围绕</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发展规划目标，加大学校年度目标任务落实的推进力度。</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31.</w:t>
      </w:r>
      <w:r>
        <w:rPr>
          <w:rFonts w:ascii="仿宋" w:eastAsia="仿宋" w:hAnsi="仿宋" w:cs="仿宋"/>
        </w:rPr>
        <w:t>持续完善依法决策和法务工作机制。坚持和完善党委领导下的校长负责制，以大学章程为统领，落实和完善校党委</w:t>
      </w:r>
      <w:r>
        <w:rPr>
          <w:rFonts w:ascii="仿宋" w:eastAsia="仿宋" w:hAnsi="仿宋" w:cs="仿宋"/>
        </w:rPr>
        <w:t>“</w:t>
      </w:r>
      <w:r>
        <w:rPr>
          <w:rFonts w:ascii="仿宋" w:eastAsia="仿宋" w:hAnsi="仿宋" w:cs="仿宋"/>
        </w:rPr>
        <w:t>三重一大</w:t>
      </w:r>
      <w:r>
        <w:rPr>
          <w:rFonts w:ascii="仿宋" w:eastAsia="仿宋" w:hAnsi="仿宋" w:cs="仿宋"/>
        </w:rPr>
        <w:t>”</w:t>
      </w:r>
      <w:r>
        <w:rPr>
          <w:rFonts w:ascii="仿宋" w:eastAsia="仿宋" w:hAnsi="仿宋" w:cs="仿宋"/>
        </w:rPr>
        <w:t>决策制度，充分发挥常设非编机构议事协调作用，规范决策行为。规范学校重大决策前的法律论证和风险评估程序，以合同审查为抓手，从源头上防范法律风险。建立健全学校法务工作机制，制定和完善法务工作制度，充分发挥法律顾问和校外专家作用，为学校重大决策、重大事项提供法律意见和专家咨询。加强法治宣传教育。</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32.</w:t>
      </w:r>
      <w:r>
        <w:rPr>
          <w:rFonts w:ascii="仿宋" w:eastAsia="仿宋" w:hAnsi="仿宋" w:cs="仿宋"/>
        </w:rPr>
        <w:t>持续深化内部管理制度</w:t>
      </w:r>
      <w:r>
        <w:rPr>
          <w:rFonts w:ascii="仿宋" w:eastAsia="仿宋" w:hAnsi="仿宋" w:cs="仿宋"/>
        </w:rPr>
        <w:t>“</w:t>
      </w:r>
      <w:r>
        <w:rPr>
          <w:rFonts w:ascii="仿宋" w:eastAsia="仿宋" w:hAnsi="仿宋" w:cs="仿宋"/>
        </w:rPr>
        <w:t>废改立新</w:t>
      </w:r>
      <w:r>
        <w:rPr>
          <w:rFonts w:ascii="仿宋" w:eastAsia="仿宋" w:hAnsi="仿宋" w:cs="仿宋"/>
        </w:rPr>
        <w:t>”</w:t>
      </w:r>
      <w:r>
        <w:rPr>
          <w:rFonts w:ascii="仿宋" w:eastAsia="仿宋" w:hAnsi="仿宋" w:cs="仿宋"/>
        </w:rPr>
        <w:t>。坚持把制度建设与完善贯穿学校治理能力提升全过程、各方面，做到以</w:t>
      </w:r>
      <w:r>
        <w:rPr>
          <w:rFonts w:ascii="仿宋" w:eastAsia="仿宋" w:hAnsi="仿宋" w:cs="仿宋"/>
        </w:rPr>
        <w:t>废促改、以改促新、以立促进。制定《规章制度管理办法》，实行规章制度年度建设清单机制，增强制度执行力度。加强政策制度合法合规性审查，确保管理行为规范化、程序化、法制化。</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九、聚力多元办学，稳步推进高水平对外开放合作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33.</w:t>
      </w:r>
      <w:r>
        <w:rPr>
          <w:rFonts w:ascii="仿宋" w:eastAsia="仿宋" w:hAnsi="仿宋" w:cs="仿宋"/>
        </w:rPr>
        <w:t>稳步推进教育对外交流合作。多渠道拓展与境外高水平大学合作。深度参与苏港澳、苏韩、中芬高校合作联盟建设，协助相关专业学院参与专业联盟建设，重点推进与芬兰萨塔昆塔应用科学大学合作双学位项目。强化国际化人才培养提质增效，扎实推进省国际化品牌专业、省国际合作联合实验室建设，完成省中期验收目标。深化校</w:t>
      </w:r>
      <w:r>
        <w:rPr>
          <w:rFonts w:ascii="仿宋" w:eastAsia="仿宋" w:hAnsi="仿宋" w:cs="仿宋"/>
        </w:rPr>
        <w:t>城融合国际合作，推进与中德（常州）创新园、中以（常州）创新园、武进绿建区中欧（常州）绿色创新园等的合作。推进师生国际交流，做好境外来访接待、学校赴境外访问团组的报批和组织工作，不断提升因公出国（境）工作绩效。积极组织学生赴境外交流学习，做好教师境外研修服务工作。做好外籍教师的引进、日常管理和服务工作。扩大留学生研究生规模，进一步优化生源结构，提高培养质量。做好对台交流及台湾教师的管理和服务工作。</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34.</w:t>
      </w:r>
      <w:r>
        <w:rPr>
          <w:rFonts w:ascii="仿宋" w:eastAsia="仿宋" w:hAnsi="仿宋" w:cs="仿宋"/>
        </w:rPr>
        <w:t>稳步促进开放办学提质增效。聚焦特色，控制规模，保证质量，坚持规范有序推动继续教育高质量发展。持续加强继续教</w:t>
      </w:r>
      <w:r>
        <w:rPr>
          <w:rFonts w:ascii="仿宋" w:eastAsia="仿宋" w:hAnsi="仿宋" w:cs="仿宋"/>
        </w:rPr>
        <w:t>育内涵建设，修订完善继续教育管理制度。进一步规范校外教学点管理，优化教学点设置。进一步优化继续教育招生专业设置，强化专业内涵建设。加强社会培训项目实施管理和质量管理</w:t>
      </w:r>
      <w:r>
        <w:rPr>
          <w:rFonts w:ascii="仿宋" w:eastAsia="仿宋" w:hAnsi="仿宋" w:cs="仿宋"/>
        </w:rPr>
        <w:t>,</w:t>
      </w:r>
      <w:r>
        <w:rPr>
          <w:rFonts w:ascii="仿宋" w:eastAsia="仿宋" w:hAnsi="仿宋" w:cs="仿宋"/>
        </w:rPr>
        <w:t>协助第三方考核调研机构组织开展培训项目调研及考核。加大国家级职业教育</w:t>
      </w:r>
      <w:r>
        <w:rPr>
          <w:rFonts w:ascii="仿宋" w:eastAsia="仿宋" w:hAnsi="仿宋" w:cs="仿宋"/>
        </w:rPr>
        <w:t>“</w:t>
      </w:r>
      <w:r>
        <w:rPr>
          <w:rFonts w:ascii="仿宋" w:eastAsia="仿宋" w:hAnsi="仿宋" w:cs="仿宋"/>
        </w:rPr>
        <w:t>双师型</w:t>
      </w:r>
      <w:r>
        <w:rPr>
          <w:rFonts w:ascii="仿宋" w:eastAsia="仿宋" w:hAnsi="仿宋" w:cs="仿宋"/>
        </w:rPr>
        <w:t>”</w:t>
      </w:r>
      <w:r>
        <w:rPr>
          <w:rFonts w:ascii="仿宋" w:eastAsia="仿宋" w:hAnsi="仿宋" w:cs="仿宋"/>
        </w:rPr>
        <w:t>教师培训基地的建设力度。持续对接西部省、市（自治区）开展职师帮扶培训，培育开发新的品牌培训项目，提升培训品质。</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35.</w:t>
      </w:r>
      <w:r>
        <w:rPr>
          <w:rFonts w:ascii="仿宋" w:eastAsia="仿宋" w:hAnsi="仿宋" w:cs="仿宋"/>
        </w:rPr>
        <w:t>稳步提升办学资源供给能力。构建精准高效的资源配置</w:t>
      </w:r>
      <w:r>
        <w:rPr>
          <w:rFonts w:ascii="仿宋" w:eastAsia="仿宋" w:hAnsi="仿宋" w:cs="仿宋"/>
        </w:rPr>
        <w:lastRenderedPageBreak/>
        <w:t>保障体制机制。提高资金与设备利用率</w:t>
      </w:r>
      <w:r>
        <w:rPr>
          <w:rFonts w:ascii="仿宋" w:eastAsia="仿宋" w:hAnsi="仿宋" w:cs="仿宋"/>
        </w:rPr>
        <w:t>,</w:t>
      </w:r>
      <w:r>
        <w:rPr>
          <w:rFonts w:ascii="仿宋" w:eastAsia="仿宋" w:hAnsi="仿宋" w:cs="仿宋"/>
        </w:rPr>
        <w:t>提升大型仪器实验设备共建共享质效。全面实施预算绩效管理，科学编制学</w:t>
      </w:r>
      <w:r>
        <w:rPr>
          <w:rFonts w:ascii="仿宋" w:eastAsia="仿宋" w:hAnsi="仿宋" w:cs="仿宋"/>
        </w:rPr>
        <w:t>校预算，强化预算执行，推进预算绩效评价工作，提升资金使用绩效。扎实推进校友工作，助力校友与学校发展。加强教育发展基金会建设，做好社会资源募捐工作。进一步规范和加强招投标工作。不断加强</w:t>
      </w:r>
      <w:r>
        <w:rPr>
          <w:rFonts w:ascii="仿宋" w:eastAsia="仿宋" w:hAnsi="仿宋" w:cs="仿宋"/>
        </w:rPr>
        <w:t>“</w:t>
      </w:r>
      <w:r>
        <w:rPr>
          <w:rFonts w:ascii="仿宋" w:eastAsia="仿宋" w:hAnsi="仿宋" w:cs="仿宋"/>
        </w:rPr>
        <w:t>六个后勤</w:t>
      </w:r>
      <w:r>
        <w:rPr>
          <w:rFonts w:ascii="仿宋" w:eastAsia="仿宋" w:hAnsi="仿宋" w:cs="仿宋"/>
        </w:rPr>
        <w:t>”</w:t>
      </w:r>
      <w:r>
        <w:rPr>
          <w:rFonts w:ascii="仿宋" w:eastAsia="仿宋" w:hAnsi="仿宋" w:cs="仿宋"/>
        </w:rPr>
        <w:t>建设，多措并举提升后勤综合保障服务能力。持续推进节约型校园建设。推进图书馆智慧服务平台建设。持续提升档案信息化水平。持续推进信息化建设，全面提升教育数字化服务能力，增强师生信息化获得感。</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十、聚力校城融合，统筹推动校地高质量协同发展</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36.</w:t>
      </w:r>
      <w:r>
        <w:rPr>
          <w:rFonts w:ascii="仿宋" w:eastAsia="仿宋" w:hAnsi="仿宋" w:cs="仿宋"/>
        </w:rPr>
        <w:t>统筹推进新校区的基础建设。优化和完善各专项设计方案。合法合规完成所有建筑体招投</w:t>
      </w:r>
      <w:r>
        <w:rPr>
          <w:rFonts w:ascii="仿宋" w:eastAsia="仿宋" w:hAnsi="仿宋" w:cs="仿宋"/>
        </w:rPr>
        <w:t>标工作，力争年内完成</w:t>
      </w:r>
      <w:r>
        <w:rPr>
          <w:rFonts w:ascii="仿宋" w:eastAsia="仿宋" w:hAnsi="仿宋" w:cs="仿宋"/>
        </w:rPr>
        <w:t>40%</w:t>
      </w:r>
      <w:r>
        <w:rPr>
          <w:rFonts w:ascii="仿宋" w:eastAsia="仿宋" w:hAnsi="仿宋" w:cs="仿宋"/>
        </w:rPr>
        <w:t>的建设进度。按照保进度、保质量、保安全要求，积极参与建筑工程施工监督与管理。加强对重要设备材料的质量监控。充分发挥新校区建设指挥部联席会议机制作用，高效率解决实质性问题。开展新校区工地开放日活动。</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37.</w:t>
      </w:r>
      <w:r>
        <w:rPr>
          <w:rFonts w:ascii="仿宋" w:eastAsia="仿宋" w:hAnsi="仿宋" w:cs="仿宋"/>
        </w:rPr>
        <w:t>统筹增强校城融合发展内涵。全面提升服务常州</w:t>
      </w:r>
      <w:r>
        <w:rPr>
          <w:rFonts w:ascii="仿宋" w:eastAsia="仿宋" w:hAnsi="仿宋" w:cs="仿宋"/>
        </w:rPr>
        <w:t>“532”</w:t>
      </w:r>
      <w:r>
        <w:rPr>
          <w:rFonts w:ascii="仿宋" w:eastAsia="仿宋" w:hAnsi="仿宋" w:cs="仿宋"/>
        </w:rPr>
        <w:t>发展战略的能力，高质量服务常州新能源之都建设和</w:t>
      </w:r>
      <w:r>
        <w:rPr>
          <w:rFonts w:ascii="仿宋" w:eastAsia="仿宋" w:hAnsi="仿宋" w:cs="仿宋"/>
        </w:rPr>
        <w:t>“</w:t>
      </w:r>
      <w:r>
        <w:rPr>
          <w:rFonts w:ascii="仿宋" w:eastAsia="仿宋" w:hAnsi="仿宋" w:cs="仿宋"/>
        </w:rPr>
        <w:t>两湖</w:t>
      </w:r>
      <w:r>
        <w:rPr>
          <w:rFonts w:ascii="仿宋" w:eastAsia="仿宋" w:hAnsi="仿宋" w:cs="仿宋"/>
        </w:rPr>
        <w:t>”</w:t>
      </w:r>
      <w:r>
        <w:rPr>
          <w:rFonts w:ascii="仿宋" w:eastAsia="仿宋" w:hAnsi="仿宋" w:cs="仿宋"/>
        </w:rPr>
        <w:t>创新区建设。统筹实施推进校城融合发展</w:t>
      </w:r>
      <w:r>
        <w:rPr>
          <w:rFonts w:ascii="仿宋" w:eastAsia="仿宋" w:hAnsi="仿宋" w:cs="仿宋"/>
        </w:rPr>
        <w:t>“</w:t>
      </w:r>
      <w:r>
        <w:rPr>
          <w:rFonts w:ascii="仿宋" w:eastAsia="仿宋" w:hAnsi="仿宋" w:cs="仿宋"/>
        </w:rPr>
        <w:t>四工程四计划</w:t>
      </w:r>
      <w:r>
        <w:rPr>
          <w:rFonts w:ascii="仿宋" w:eastAsia="仿宋" w:hAnsi="仿宋" w:cs="仿宋"/>
        </w:rPr>
        <w:t>”</w:t>
      </w:r>
      <w:r>
        <w:rPr>
          <w:rFonts w:ascii="仿宋" w:eastAsia="仿宋" w:hAnsi="仿宋" w:cs="仿宋"/>
        </w:rPr>
        <w:t>，着力构建</w:t>
      </w:r>
      <w:r>
        <w:rPr>
          <w:rFonts w:ascii="仿宋" w:eastAsia="仿宋" w:hAnsi="仿宋" w:cs="仿宋"/>
        </w:rPr>
        <w:t>“</w:t>
      </w:r>
      <w:r>
        <w:rPr>
          <w:rFonts w:ascii="仿宋" w:eastAsia="仿宋" w:hAnsi="仿宋" w:cs="仿宋"/>
        </w:rPr>
        <w:t>一院一局一镇一产业</w:t>
      </w:r>
      <w:r>
        <w:rPr>
          <w:rFonts w:ascii="仿宋" w:eastAsia="仿宋" w:hAnsi="仿宋" w:cs="仿宋"/>
        </w:rPr>
        <w:t>”</w:t>
      </w:r>
      <w:r>
        <w:rPr>
          <w:rFonts w:ascii="仿宋" w:eastAsia="仿宋" w:hAnsi="仿宋" w:cs="仿宋"/>
        </w:rPr>
        <w:t>的融合发展格局。聚焦区域主战场，深化板块新合作，协同开展重点项目攻关，共同打造融合发展新高地</w:t>
      </w:r>
      <w:r>
        <w:rPr>
          <w:rFonts w:ascii="仿宋" w:eastAsia="仿宋" w:hAnsi="仿宋" w:cs="仿宋"/>
        </w:rPr>
        <w:t>。拓展和深化教育</w:t>
      </w:r>
      <w:r>
        <w:rPr>
          <w:rFonts w:ascii="仿宋" w:eastAsia="仿宋" w:hAnsi="仿宋" w:cs="仿宋"/>
        </w:rPr>
        <w:t>“U-G-S”</w:t>
      </w:r>
      <w:r>
        <w:rPr>
          <w:rFonts w:ascii="仿宋" w:eastAsia="仿宋" w:hAnsi="仿宋" w:cs="仿宋"/>
        </w:rPr>
        <w:t>项目合作。协同推进与大院大所的深度合作。共建</w:t>
      </w:r>
      <w:r>
        <w:rPr>
          <w:rFonts w:ascii="仿宋" w:eastAsia="仿宋" w:hAnsi="仿宋" w:cs="仿宋"/>
        </w:rPr>
        <w:t>“</w:t>
      </w:r>
      <w:r>
        <w:rPr>
          <w:rFonts w:ascii="仿宋" w:eastAsia="仿宋" w:hAnsi="仿宋" w:cs="仿宋"/>
        </w:rPr>
        <w:t>两湖</w:t>
      </w:r>
      <w:r>
        <w:rPr>
          <w:rFonts w:ascii="仿宋" w:eastAsia="仿宋" w:hAnsi="仿宋" w:cs="仿宋"/>
        </w:rPr>
        <w:t>”</w:t>
      </w:r>
      <w:r>
        <w:rPr>
          <w:rFonts w:ascii="仿宋" w:eastAsia="仿宋" w:hAnsi="仿宋" w:cs="仿宋"/>
        </w:rPr>
        <w:t>青年发展</w:t>
      </w:r>
      <w:r>
        <w:rPr>
          <w:rFonts w:ascii="仿宋" w:eastAsia="仿宋" w:hAnsi="仿宋" w:cs="仿宋"/>
        </w:rPr>
        <w:lastRenderedPageBreak/>
        <w:t>研究中心。</w:t>
      </w:r>
    </w:p>
    <w:p w:rsidR="00EA78E7" w:rsidRDefault="00A71678">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38.</w:t>
      </w:r>
      <w:r>
        <w:rPr>
          <w:rFonts w:ascii="仿宋" w:eastAsia="仿宋" w:hAnsi="仿宋" w:cs="仿宋"/>
        </w:rPr>
        <w:t>统筹完善校城融合工作体系。健全校地融合联动机制，落实校城融合联席会议常态化机制。建立健全校地合作协议和工作清单落实机制，强化校内跟进督促检查。探索校城深度融合发展新的路径，形成具有鲜明特色的校城融合发展经验。</w:t>
      </w:r>
    </w:p>
    <w:p w:rsidR="00EA78E7" w:rsidRDefault="00EA78E7">
      <w:pPr>
        <w:pStyle w:val="a4"/>
        <w:spacing w:line="235" w:lineRule="auto"/>
        <w:ind w:leftChars="300" w:left="669" w:right="2414" w:hanging="9"/>
        <w:jc w:val="both"/>
        <w:rPr>
          <w:rFonts w:ascii="仿宋" w:eastAsia="仿宋" w:hAnsi="仿宋" w:cs="仿宋"/>
        </w:rPr>
        <w:sectPr w:rsidR="00EA78E7">
          <w:footerReference w:type="default" r:id="rId10"/>
          <w:pgSz w:w="11906" w:h="16838"/>
          <w:pgMar w:top="1580" w:right="1020" w:bottom="770" w:left="1020" w:header="170" w:footer="280" w:gutter="0"/>
          <w:pgNumType w:fmt="numberInDash"/>
          <w:cols w:space="720"/>
          <w:formProt w:val="0"/>
          <w:docGrid w:linePitch="100"/>
        </w:sectPr>
      </w:pPr>
    </w:p>
    <w:p w:rsidR="00EA78E7" w:rsidRDefault="00EA78E7">
      <w:pPr>
        <w:pStyle w:val="a4"/>
        <w:spacing w:line="360" w:lineRule="auto"/>
        <w:ind w:leftChars="200" w:left="440" w:rightChars="229" w:right="504" w:firstLine="658"/>
        <w:jc w:val="both"/>
        <w:rPr>
          <w:rFonts w:ascii="仿宋" w:eastAsia="仿宋" w:hAnsi="仿宋" w:cs="仿宋"/>
          <w:lang w:val="en-US"/>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EA78E7">
      <w:pPr>
        <w:pStyle w:val="10"/>
        <w:tabs>
          <w:tab w:val="left" w:pos="1609"/>
        </w:tabs>
        <w:spacing w:before="12" w:line="300" w:lineRule="auto"/>
        <w:ind w:left="340" w:right="567" w:firstLine="0"/>
        <w:jc w:val="center"/>
        <w:rPr>
          <w:rFonts w:ascii="仿宋" w:eastAsia="仿宋" w:hAnsi="仿宋" w:cs="仿宋"/>
          <w:b/>
          <w:bCs/>
          <w:sz w:val="44"/>
          <w:szCs w:val="44"/>
        </w:rPr>
      </w:pPr>
    </w:p>
    <w:p w:rsidR="00EA78E7" w:rsidRDefault="00A7167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EA78E7" w:rsidRDefault="00A7167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EA78E7" w:rsidRDefault="00A71678">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江苏理工学院</w:t>
      </w:r>
    </w:p>
    <w:p w:rsidR="00EA78E7" w:rsidRDefault="00A71678">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EA78E7">
        <w:trPr>
          <w:cantSplit/>
          <w:trHeight w:val="116"/>
          <w:jc w:val="center"/>
        </w:trPr>
        <w:tc>
          <w:tcPr>
            <w:tcW w:w="11329" w:type="dxa"/>
            <w:gridSpan w:val="5"/>
            <w:vAlign w:val="center"/>
          </w:tcPr>
          <w:p w:rsidR="00EA78E7" w:rsidRDefault="00A71678">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EA78E7">
        <w:trPr>
          <w:cantSplit/>
          <w:trHeight w:val="348"/>
          <w:jc w:val="center"/>
        </w:trPr>
        <w:tc>
          <w:tcPr>
            <w:tcW w:w="11329" w:type="dxa"/>
            <w:gridSpan w:val="5"/>
          </w:tcPr>
          <w:p w:rsidR="00EA78E7" w:rsidRDefault="00A71678">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EA78E7">
        <w:trPr>
          <w:cantSplit/>
          <w:trHeight w:val="333"/>
          <w:jc w:val="center"/>
        </w:trPr>
        <w:tc>
          <w:tcPr>
            <w:tcW w:w="9481" w:type="dxa"/>
            <w:gridSpan w:val="3"/>
            <w:tcBorders>
              <w:bottom w:val="single" w:sz="4" w:space="0" w:color="000000"/>
            </w:tcBorders>
            <w:vAlign w:val="center"/>
          </w:tcPr>
          <w:p w:rsidR="00EA78E7" w:rsidRDefault="00A71678">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江苏理工学院</w:t>
            </w:r>
          </w:p>
        </w:tc>
        <w:tc>
          <w:tcPr>
            <w:tcW w:w="1848" w:type="dxa"/>
            <w:gridSpan w:val="2"/>
            <w:tcBorders>
              <w:bottom w:val="single" w:sz="4" w:space="0" w:color="000000"/>
            </w:tcBorders>
            <w:vAlign w:val="center"/>
          </w:tcPr>
          <w:p w:rsidR="00EA78E7" w:rsidRDefault="00A71678">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EA78E7">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EA78E7">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38,101.91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18,700.00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12,000.00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54,695.91</w:t>
            </w: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4,780.03</w:t>
            </w: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1,760.00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11,085.97</w:t>
            </w: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EA78E7">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keepNext/>
              <w:keepLines/>
              <w:jc w:val="right"/>
              <w:rPr>
                <w:rFonts w:ascii="仿宋" w:eastAsia="仿宋" w:hAnsi="仿宋" w:cs="仿宋"/>
                <w:color w:val="000000"/>
                <w:lang w:eastAsia="ar-SA"/>
              </w:rPr>
            </w:pPr>
          </w:p>
        </w:tc>
      </w:tr>
      <w:tr w:rsidR="00EA78E7">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right"/>
              <w:rPr>
                <w:rFonts w:ascii="仿宋" w:eastAsia="仿宋" w:hAnsi="仿宋" w:cs="仿宋"/>
                <w:b/>
                <w:bCs/>
                <w:color w:val="000000"/>
                <w:lang w:val="en-US"/>
              </w:rPr>
            </w:pPr>
            <w:r>
              <w:rPr>
                <w:rFonts w:ascii="仿宋" w:eastAsia="仿宋" w:hAnsi="仿宋" w:cs="仿宋" w:hint="eastAsia"/>
                <w:b/>
                <w:bCs/>
                <w:color w:val="000000"/>
                <w:lang w:val="en-US"/>
              </w:rPr>
              <w:t>70,561.91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right"/>
              <w:rPr>
                <w:rFonts w:ascii="仿宋" w:eastAsia="仿宋" w:hAnsi="仿宋" w:cs="仿宋"/>
                <w:b/>
                <w:bCs/>
                <w:color w:val="000000"/>
                <w:lang w:val="en-US"/>
              </w:rPr>
            </w:pPr>
            <w:r>
              <w:rPr>
                <w:rFonts w:ascii="仿宋" w:eastAsia="仿宋" w:hAnsi="仿宋" w:cs="仿宋" w:hint="eastAsia"/>
                <w:b/>
                <w:bCs/>
                <w:color w:val="000000"/>
                <w:lang w:val="en-US"/>
              </w:rPr>
              <w:t>70,561.91</w:t>
            </w:r>
          </w:p>
        </w:tc>
      </w:tr>
      <w:tr w:rsidR="00EA78E7">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EA78E7">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EA78E7">
            <w:pPr>
              <w:jc w:val="right"/>
              <w:rPr>
                <w:rFonts w:ascii="仿宋" w:eastAsia="仿宋" w:hAnsi="仿宋" w:cs="仿宋"/>
                <w:b/>
                <w:bCs/>
                <w:color w:val="000000"/>
                <w:lang w:val="en-US"/>
              </w:rPr>
            </w:pPr>
          </w:p>
        </w:tc>
      </w:tr>
      <w:tr w:rsidR="00EA78E7">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70,561.91</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EA78E7" w:rsidRDefault="00A71678">
            <w:pPr>
              <w:jc w:val="right"/>
              <w:rPr>
                <w:rFonts w:ascii="仿宋" w:eastAsia="仿宋" w:hAnsi="仿宋" w:cs="仿宋"/>
                <w:b/>
                <w:bCs/>
                <w:color w:val="000000"/>
                <w:lang w:val="en-US"/>
              </w:rPr>
            </w:pPr>
            <w:r>
              <w:rPr>
                <w:rFonts w:ascii="仿宋" w:eastAsia="仿宋" w:hAnsi="仿宋" w:cs="仿宋" w:hint="eastAsia"/>
                <w:b/>
                <w:bCs/>
                <w:color w:val="000000"/>
                <w:lang w:val="en-US"/>
              </w:rPr>
              <w:t>70,561.91</w:t>
            </w:r>
          </w:p>
        </w:tc>
      </w:tr>
    </w:tbl>
    <w:p w:rsidR="00EA78E7" w:rsidRDefault="00EA78E7">
      <w:pPr>
        <w:spacing w:before="66"/>
        <w:rPr>
          <w:rFonts w:ascii="仿宋" w:eastAsia="仿宋" w:hAnsi="仿宋" w:cs="仿宋"/>
          <w:b/>
          <w:bCs/>
          <w:color w:val="000000"/>
        </w:rPr>
        <w:sectPr w:rsidR="00EA78E7">
          <w:footerReference w:type="default" r:id="rId11"/>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EA78E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EA78E7" w:rsidRDefault="00A71678">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EA78E7">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EA78E7" w:rsidRDefault="00A71678">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EA78E7">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EA78E7" w:rsidRDefault="00A71678">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EA78E7">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EA78E7">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EA78E7" w:rsidRDefault="00A71678">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EA78E7">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70,561.91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70,561.91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38,101.91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18,700.00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12,000.00</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1,760.00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val="en-US"/>
              </w:rPr>
            </w:pPr>
          </w:p>
        </w:tc>
      </w:tr>
      <w:tr w:rsidR="00EA78E7">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168031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江苏理工学院</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70,561.91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70,561.91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38,101.91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18,700.00</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12,000.00</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1,760.00</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pacing w:line="34" w:lineRule="atLeast"/>
              <w:ind w:right="45"/>
              <w:jc w:val="right"/>
              <w:rPr>
                <w:rFonts w:ascii="仿宋" w:eastAsia="仿宋" w:hAnsi="仿宋" w:cs="仿宋"/>
                <w:color w:val="000000"/>
                <w:sz w:val="15"/>
                <w:szCs w:val="15"/>
                <w:lang w:eastAsia="ar-SA"/>
              </w:rPr>
            </w:pPr>
          </w:p>
        </w:tc>
      </w:tr>
    </w:tbl>
    <w:p w:rsidR="00EA78E7" w:rsidRDefault="00EA78E7">
      <w:pPr>
        <w:spacing w:before="66"/>
        <w:rPr>
          <w:rFonts w:ascii="仿宋" w:eastAsia="仿宋" w:hAnsi="仿宋" w:cs="仿宋"/>
          <w:b/>
          <w:bCs/>
        </w:rPr>
        <w:sectPr w:rsidR="00EA78E7">
          <w:footerReference w:type="default" r:id="rId12"/>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EA78E7">
        <w:trPr>
          <w:cantSplit/>
          <w:trHeight w:val="341"/>
        </w:trPr>
        <w:tc>
          <w:tcPr>
            <w:tcW w:w="15347" w:type="dxa"/>
            <w:gridSpan w:val="8"/>
            <w:vAlign w:val="center"/>
          </w:tcPr>
          <w:p w:rsidR="00EA78E7" w:rsidRDefault="00A71678">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EA78E7">
        <w:trPr>
          <w:cantSplit/>
          <w:trHeight w:val="321"/>
        </w:trPr>
        <w:tc>
          <w:tcPr>
            <w:tcW w:w="15347" w:type="dxa"/>
            <w:gridSpan w:val="8"/>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EA78E7">
        <w:trPr>
          <w:cantSplit/>
          <w:trHeight w:val="218"/>
        </w:trPr>
        <w:tc>
          <w:tcPr>
            <w:tcW w:w="12030" w:type="dxa"/>
            <w:gridSpan w:val="6"/>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317" w:type="dxa"/>
            <w:gridSpan w:val="2"/>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EA78E7">
        <w:trPr>
          <w:cantSplit/>
          <w:trHeight w:val="533"/>
        </w:trPr>
        <w:tc>
          <w:tcPr>
            <w:tcW w:w="1556"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EA78E7">
        <w:trPr>
          <w:cantSplit/>
          <w:trHeight w:hRule="exact" w:val="375"/>
        </w:trPr>
        <w:tc>
          <w:tcPr>
            <w:tcW w:w="4779" w:type="dxa"/>
            <w:gridSpan w:val="2"/>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70,561.91</w:t>
            </w:r>
          </w:p>
        </w:tc>
        <w:tc>
          <w:tcPr>
            <w:tcW w:w="1714"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67,341.91</w:t>
            </w:r>
          </w:p>
        </w:tc>
        <w:tc>
          <w:tcPr>
            <w:tcW w:w="1749"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3,220.00</w:t>
            </w:r>
          </w:p>
        </w:tc>
        <w:tc>
          <w:tcPr>
            <w:tcW w:w="1868" w:type="dxa"/>
            <w:tcBorders>
              <w:left w:val="single" w:sz="4" w:space="0" w:color="000000"/>
              <w:bottom w:val="single" w:sz="4" w:space="0" w:color="000000"/>
            </w:tcBorders>
            <w:vAlign w:val="center"/>
          </w:tcPr>
          <w:p w:rsidR="00EA78E7" w:rsidRDefault="00EA78E7">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EA78E7" w:rsidRDefault="00EA78E7">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54,695.91</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51,475.91</w:t>
            </w:r>
          </w:p>
        </w:tc>
        <w:tc>
          <w:tcPr>
            <w:tcW w:w="1749"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3,220.00</w:t>
            </w: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20502</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54,695.91</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51,475.91</w:t>
            </w:r>
          </w:p>
        </w:tc>
        <w:tc>
          <w:tcPr>
            <w:tcW w:w="1749"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3,220.00</w:t>
            </w: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2050205</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高等教育</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54,695.91</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51,475.91</w:t>
            </w:r>
          </w:p>
        </w:tc>
        <w:tc>
          <w:tcPr>
            <w:tcW w:w="1749"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3,220.00</w:t>
            </w: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4,780.03</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4,780.03</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4,780.03</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4,780.03</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2,598.60</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2,598.60</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2,181.43</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2,181.43</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11,085.97</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11,085.97</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11,085.97</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11,085.97</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3,037.97</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3,037.97</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r w:rsidR="00EA78E7">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8,048.00</w:t>
            </w:r>
          </w:p>
        </w:tc>
        <w:tc>
          <w:tcPr>
            <w:tcW w:w="1714" w:type="dxa"/>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8,048.00</w:t>
            </w:r>
          </w:p>
        </w:tc>
        <w:tc>
          <w:tcPr>
            <w:tcW w:w="1749"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A78E7" w:rsidRDefault="00EA78E7">
            <w:pPr>
              <w:pStyle w:val="TableParagraph"/>
              <w:jc w:val="right"/>
              <w:rPr>
                <w:rFonts w:ascii="仿宋" w:eastAsia="仿宋" w:hAnsi="仿宋" w:cs="仿宋"/>
              </w:rPr>
            </w:pPr>
          </w:p>
        </w:tc>
      </w:tr>
    </w:tbl>
    <w:p w:rsidR="00EA78E7" w:rsidRDefault="00EA78E7">
      <w:pPr>
        <w:spacing w:before="59"/>
        <w:ind w:left="57"/>
        <w:rPr>
          <w:rFonts w:ascii="仿宋" w:eastAsia="仿宋" w:hAnsi="仿宋" w:cs="仿宋"/>
          <w:b/>
          <w:bCs/>
        </w:rPr>
        <w:sectPr w:rsidR="00EA78E7">
          <w:footerReference w:type="default" r:id="rId13"/>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EA78E7">
        <w:trPr>
          <w:cantSplit/>
          <w:trHeight w:val="319"/>
        </w:trPr>
        <w:tc>
          <w:tcPr>
            <w:tcW w:w="15789" w:type="dxa"/>
            <w:gridSpan w:val="4"/>
          </w:tcPr>
          <w:p w:rsidR="00EA78E7" w:rsidRDefault="00A71678">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EA78E7">
        <w:trPr>
          <w:cantSplit/>
          <w:trHeight w:val="319"/>
        </w:trPr>
        <w:tc>
          <w:tcPr>
            <w:tcW w:w="15789" w:type="dxa"/>
            <w:gridSpan w:val="4"/>
          </w:tcPr>
          <w:p w:rsidR="00EA78E7" w:rsidRDefault="00A71678">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EA78E7">
        <w:trPr>
          <w:cantSplit/>
          <w:trHeight w:val="319"/>
        </w:trPr>
        <w:tc>
          <w:tcPr>
            <w:tcW w:w="11890" w:type="dxa"/>
            <w:gridSpan w:val="3"/>
          </w:tcPr>
          <w:p w:rsidR="00EA78E7" w:rsidRDefault="00A7167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899" w:type="dxa"/>
            <w:vAlign w:val="center"/>
          </w:tcPr>
          <w:p w:rsidR="00EA78E7" w:rsidRDefault="00A71678">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EA78E7">
        <w:trPr>
          <w:cantSplit/>
          <w:trHeight w:val="196"/>
        </w:trPr>
        <w:tc>
          <w:tcPr>
            <w:tcW w:w="7947" w:type="dxa"/>
            <w:gridSpan w:val="2"/>
            <w:tcBorders>
              <w:top w:val="single" w:sz="4" w:space="0" w:color="000000"/>
              <w:left w:val="single" w:sz="4" w:space="0" w:color="000000"/>
              <w:bottom w:val="single" w:sz="4" w:space="0" w:color="000000"/>
            </w:tcBorders>
          </w:tcPr>
          <w:p w:rsidR="00EA78E7" w:rsidRDefault="00A71678">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EA78E7" w:rsidRDefault="00A71678">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EA78E7">
        <w:trPr>
          <w:cantSplit/>
          <w:trHeight w:val="468"/>
        </w:trPr>
        <w:tc>
          <w:tcPr>
            <w:tcW w:w="3987"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EA78E7" w:rsidRDefault="00A71678">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38,101.91</w:t>
            </w: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38,101.91</w:t>
            </w: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38,101.91</w:t>
            </w: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33,283.95</w:t>
            </w: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3,782.60</w:t>
            </w: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1,035.36</w:t>
            </w: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lang w:val="en-US"/>
              </w:rPr>
            </w:pPr>
          </w:p>
        </w:tc>
      </w:tr>
      <w:tr w:rsidR="00EA78E7">
        <w:trPr>
          <w:cantSplit/>
          <w:trHeight w:hRule="exact" w:val="296"/>
        </w:trPr>
        <w:tc>
          <w:tcPr>
            <w:tcW w:w="3987"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EA78E7" w:rsidRDefault="00A71678">
            <w:pPr>
              <w:jc w:val="right"/>
              <w:rPr>
                <w:rFonts w:ascii="仿宋" w:eastAsia="仿宋" w:hAnsi="仿宋" w:cs="仿宋"/>
              </w:rPr>
            </w:pPr>
            <w:r>
              <w:rPr>
                <w:rFonts w:ascii="仿宋" w:eastAsia="仿宋" w:hAnsi="仿宋" w:cs="仿宋" w:hint="eastAsia"/>
              </w:rPr>
              <w:t>38,101.91</w:t>
            </w:r>
          </w:p>
        </w:tc>
        <w:tc>
          <w:tcPr>
            <w:tcW w:w="3943"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EA78E7" w:rsidRDefault="00A71678">
            <w:pPr>
              <w:jc w:val="right"/>
              <w:rPr>
                <w:rFonts w:ascii="仿宋" w:eastAsia="仿宋" w:hAnsi="仿宋" w:cs="仿宋"/>
              </w:rPr>
            </w:pPr>
            <w:r>
              <w:rPr>
                <w:rFonts w:ascii="仿宋" w:eastAsia="仿宋" w:hAnsi="仿宋" w:cs="仿宋" w:hint="eastAsia"/>
              </w:rPr>
              <w:t>38,101.91</w:t>
            </w:r>
          </w:p>
        </w:tc>
      </w:tr>
    </w:tbl>
    <w:p w:rsidR="00EA78E7" w:rsidRDefault="00EA78E7">
      <w:pPr>
        <w:ind w:leftChars="-100" w:left="-220"/>
        <w:rPr>
          <w:rFonts w:ascii="仿宋" w:eastAsia="仿宋" w:hAnsi="仿宋" w:cs="仿宋"/>
          <w:b/>
          <w:bCs/>
        </w:rPr>
        <w:sectPr w:rsidR="00EA78E7">
          <w:footerReference w:type="default" r:id="rId14"/>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EA78E7">
        <w:trPr>
          <w:cantSplit/>
          <w:trHeight w:val="321"/>
        </w:trPr>
        <w:tc>
          <w:tcPr>
            <w:tcW w:w="15216" w:type="dxa"/>
            <w:gridSpan w:val="7"/>
            <w:vAlign w:val="center"/>
          </w:tcPr>
          <w:p w:rsidR="00EA78E7" w:rsidRDefault="00A71678">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EA78E7">
        <w:trPr>
          <w:cantSplit/>
          <w:trHeight w:val="321"/>
        </w:trPr>
        <w:tc>
          <w:tcPr>
            <w:tcW w:w="15216" w:type="dxa"/>
            <w:gridSpan w:val="7"/>
          </w:tcPr>
          <w:p w:rsidR="00EA78E7" w:rsidRDefault="00A71678">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EA78E7">
        <w:trPr>
          <w:cantSplit/>
          <w:trHeight w:val="309"/>
        </w:trPr>
        <w:tc>
          <w:tcPr>
            <w:tcW w:w="13552" w:type="dxa"/>
            <w:gridSpan w:val="6"/>
          </w:tcPr>
          <w:p w:rsidR="00EA78E7" w:rsidRDefault="00A71678">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64" w:type="dxa"/>
            <w:vAlign w:val="center"/>
          </w:tcPr>
          <w:p w:rsidR="00EA78E7" w:rsidRDefault="00A71678">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EA78E7">
        <w:trPr>
          <w:cantSplit/>
          <w:trHeight w:val="319"/>
        </w:trPr>
        <w:tc>
          <w:tcPr>
            <w:tcW w:w="1846" w:type="dxa"/>
            <w:vMerge w:val="restart"/>
            <w:tcBorders>
              <w:top w:val="single" w:sz="6" w:space="0" w:color="000000"/>
              <w:left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EA78E7">
        <w:trPr>
          <w:cantSplit/>
          <w:trHeight w:val="296"/>
        </w:trPr>
        <w:tc>
          <w:tcPr>
            <w:tcW w:w="1846" w:type="dxa"/>
            <w:vMerge/>
            <w:tcBorders>
              <w:left w:val="single" w:sz="6" w:space="0" w:color="000000"/>
              <w:bottom w:val="single" w:sz="6" w:space="0" w:color="000000"/>
            </w:tcBorders>
            <w:vAlign w:val="center"/>
          </w:tcPr>
          <w:p w:rsidR="00EA78E7" w:rsidRDefault="00EA78E7">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EA78E7" w:rsidRDefault="00EA78E7">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EA78E7" w:rsidRDefault="00EA78E7">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EA78E7" w:rsidRDefault="00A71678">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EA78E7" w:rsidRDefault="00A71678">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EA78E7" w:rsidRDefault="00A71678">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EA78E7" w:rsidRDefault="00EA78E7">
            <w:pPr>
              <w:spacing w:after="34" w:line="34" w:lineRule="atLeast"/>
              <w:rPr>
                <w:rFonts w:ascii="仿宋" w:eastAsia="仿宋" w:hAnsi="仿宋" w:cs="仿宋"/>
              </w:rPr>
            </w:pPr>
          </w:p>
        </w:tc>
      </w:tr>
      <w:tr w:rsidR="00EA78E7">
        <w:trPr>
          <w:cantSplit/>
          <w:trHeight w:hRule="exact" w:val="350"/>
        </w:trPr>
        <w:tc>
          <w:tcPr>
            <w:tcW w:w="6059" w:type="dxa"/>
            <w:gridSpan w:val="2"/>
            <w:tcBorders>
              <w:left w:val="single" w:sz="6" w:space="0" w:color="000000"/>
              <w:bottom w:val="single" w:sz="6" w:space="0" w:color="000000"/>
            </w:tcBorders>
            <w:vAlign w:val="center"/>
          </w:tcPr>
          <w:p w:rsidR="00EA78E7" w:rsidRDefault="00A71678">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38,101.91</w:t>
            </w:r>
          </w:p>
        </w:tc>
        <w:tc>
          <w:tcPr>
            <w:tcW w:w="1827" w:type="dxa"/>
            <w:tcBorders>
              <w:left w:val="single" w:sz="6" w:space="0" w:color="000000"/>
              <w:bottom w:val="single" w:sz="6" w:space="0" w:color="000000"/>
            </w:tcBorders>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35,301.91</w:t>
            </w:r>
          </w:p>
        </w:tc>
        <w:tc>
          <w:tcPr>
            <w:tcW w:w="1813" w:type="dxa"/>
            <w:tcBorders>
              <w:left w:val="single" w:sz="6" w:space="0" w:color="000000"/>
              <w:bottom w:val="single" w:sz="6" w:space="0" w:color="000000"/>
            </w:tcBorders>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30,441.91</w:t>
            </w:r>
          </w:p>
        </w:tc>
        <w:tc>
          <w:tcPr>
            <w:tcW w:w="1813" w:type="dxa"/>
            <w:tcBorders>
              <w:left w:val="single" w:sz="6" w:space="0" w:color="000000"/>
              <w:bottom w:val="single" w:sz="6" w:space="0" w:color="000000"/>
            </w:tcBorders>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4,860.00</w:t>
            </w:r>
          </w:p>
        </w:tc>
        <w:tc>
          <w:tcPr>
            <w:tcW w:w="1664" w:type="dxa"/>
            <w:tcBorders>
              <w:left w:val="single" w:sz="6" w:space="0" w:color="000000"/>
              <w:bottom w:val="single" w:sz="6" w:space="0" w:color="000000"/>
              <w:right w:val="single" w:sz="6" w:space="0" w:color="000000"/>
            </w:tcBorders>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2,800.00</w:t>
            </w: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33,283.95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30,483.95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25,623.95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4,860.00</w:t>
            </w: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2,800.00</w:t>
            </w: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33,283.95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30,483.95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25,623.95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4,860.00</w:t>
            </w: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2,800.00</w:t>
            </w: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2050205</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高等教育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33,283.95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30,483.95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25,623.95</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4,860.00</w:t>
            </w: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2,800.00</w:t>
            </w: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3,782.60</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1,843.76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1,843.76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1,843.76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1,938.84</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1,938.84</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1,938.84</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r w:rsidR="00EA78E7">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spacing w:after="34" w:line="34" w:lineRule="atLeast"/>
              <w:jc w:val="right"/>
              <w:rPr>
                <w:rFonts w:ascii="仿宋" w:eastAsia="仿宋" w:hAnsi="仿宋" w:cs="仿宋"/>
              </w:rPr>
            </w:pPr>
            <w:r>
              <w:rPr>
                <w:rFonts w:ascii="仿宋" w:eastAsia="仿宋" w:hAnsi="仿宋" w:cs="仿宋" w:hint="eastAsia"/>
              </w:rPr>
              <w:t>1,035.36</w:t>
            </w:r>
          </w:p>
        </w:tc>
        <w:tc>
          <w:tcPr>
            <w:tcW w:w="1813"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spacing w:after="34" w:line="34" w:lineRule="atLeast"/>
              <w:jc w:val="right"/>
              <w:rPr>
                <w:rFonts w:ascii="仿宋" w:eastAsia="仿宋" w:hAnsi="仿宋" w:cs="仿宋"/>
              </w:rPr>
            </w:pPr>
          </w:p>
        </w:tc>
      </w:tr>
    </w:tbl>
    <w:p w:rsidR="00EA78E7" w:rsidRDefault="00EA78E7">
      <w:pPr>
        <w:tabs>
          <w:tab w:val="left" w:pos="55"/>
        </w:tabs>
        <w:jc w:val="both"/>
        <w:rPr>
          <w:rFonts w:ascii="仿宋" w:eastAsia="仿宋" w:hAnsi="仿宋" w:cs="仿宋"/>
          <w:b/>
          <w:bCs/>
        </w:rPr>
        <w:sectPr w:rsidR="00EA78E7">
          <w:footerReference w:type="default" r:id="rId15"/>
          <w:pgSz w:w="16838" w:h="11906" w:orient="landscape"/>
          <w:pgMar w:top="720" w:right="720" w:bottom="720" w:left="720" w:header="170" w:footer="280" w:gutter="0"/>
          <w:pgNumType w:fmt="numberInDash"/>
          <w:cols w:space="720"/>
          <w:formProt w:val="0"/>
          <w:docGrid w:linePitch="100"/>
        </w:sectPr>
      </w:pPr>
    </w:p>
    <w:p w:rsidR="00EA78E7" w:rsidRDefault="00EA78E7">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EA78E7">
        <w:trPr>
          <w:cantSplit/>
          <w:trHeight w:val="319"/>
        </w:trPr>
        <w:tc>
          <w:tcPr>
            <w:tcW w:w="10817" w:type="dxa"/>
            <w:gridSpan w:val="5"/>
            <w:vAlign w:val="center"/>
          </w:tcPr>
          <w:p w:rsidR="00EA78E7" w:rsidRDefault="00A71678">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EA78E7">
        <w:trPr>
          <w:cantSplit/>
          <w:trHeight w:val="319"/>
        </w:trPr>
        <w:tc>
          <w:tcPr>
            <w:tcW w:w="10817" w:type="dxa"/>
            <w:gridSpan w:val="5"/>
          </w:tcPr>
          <w:p w:rsidR="00EA78E7" w:rsidRDefault="00A71678">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EA78E7">
        <w:trPr>
          <w:cantSplit/>
          <w:trHeight w:val="319"/>
        </w:trPr>
        <w:tc>
          <w:tcPr>
            <w:tcW w:w="8760" w:type="dxa"/>
            <w:gridSpan w:val="4"/>
          </w:tcPr>
          <w:p w:rsidR="00EA78E7" w:rsidRDefault="00A7167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057" w:type="dxa"/>
            <w:vAlign w:val="center"/>
          </w:tcPr>
          <w:p w:rsidR="00EA78E7" w:rsidRDefault="00A71678">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EA78E7">
        <w:trPr>
          <w:cantSplit/>
          <w:trHeight w:val="243"/>
        </w:trPr>
        <w:tc>
          <w:tcPr>
            <w:tcW w:w="4673" w:type="dxa"/>
            <w:gridSpan w:val="2"/>
            <w:tcBorders>
              <w:top w:val="single" w:sz="4" w:space="0" w:color="000000"/>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EA78E7">
        <w:trPr>
          <w:cantSplit/>
          <w:trHeight w:val="267"/>
        </w:trPr>
        <w:tc>
          <w:tcPr>
            <w:tcW w:w="1131"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公用经费</w:t>
            </w:r>
          </w:p>
        </w:tc>
      </w:tr>
      <w:tr w:rsidR="00EA78E7">
        <w:trPr>
          <w:cantSplit/>
          <w:trHeight w:hRule="exact" w:val="350"/>
        </w:trPr>
        <w:tc>
          <w:tcPr>
            <w:tcW w:w="4673" w:type="dxa"/>
            <w:gridSpan w:val="2"/>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35,301.91</w:t>
            </w:r>
          </w:p>
        </w:tc>
        <w:tc>
          <w:tcPr>
            <w:tcW w:w="2040"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30,441.91</w:t>
            </w:r>
          </w:p>
        </w:tc>
        <w:tc>
          <w:tcPr>
            <w:tcW w:w="2057" w:type="dxa"/>
            <w:tcBorders>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29,320.35</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29,320.35</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7,326.96</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7,326.96</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761.41</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761.41</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15,255.82</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15,255.82</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2,193.56</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2,193.56</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185.00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260.00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260.00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1,300.00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1,300.00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500.00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500.00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45.00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45.00</w:t>
            </w: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1,121.56</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1,121.56</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68.97</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68.97</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1,031.59</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1,031.59</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21.00</w:t>
            </w:r>
          </w:p>
        </w:tc>
        <w:tc>
          <w:tcPr>
            <w:tcW w:w="2040"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21.00</w:t>
            </w:r>
          </w:p>
        </w:tc>
        <w:tc>
          <w:tcPr>
            <w:tcW w:w="2057"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bl>
    <w:p w:rsidR="00EA78E7" w:rsidRDefault="00EA78E7">
      <w:pPr>
        <w:spacing w:line="255" w:lineRule="exact"/>
        <w:rPr>
          <w:rFonts w:ascii="仿宋" w:eastAsia="仿宋" w:hAnsi="仿宋" w:cs="仿宋"/>
          <w:b/>
          <w:bCs/>
        </w:rPr>
        <w:sectPr w:rsidR="00EA78E7">
          <w:footerReference w:type="default" r:id="rId16"/>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EA78E7">
        <w:trPr>
          <w:cantSplit/>
          <w:trHeight w:val="321"/>
        </w:trPr>
        <w:tc>
          <w:tcPr>
            <w:tcW w:w="15216" w:type="dxa"/>
            <w:gridSpan w:val="7"/>
            <w:vAlign w:val="center"/>
          </w:tcPr>
          <w:p w:rsidR="00EA78E7" w:rsidRDefault="00A71678">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EA78E7">
        <w:trPr>
          <w:cantSplit/>
          <w:trHeight w:val="321"/>
        </w:trPr>
        <w:tc>
          <w:tcPr>
            <w:tcW w:w="15216" w:type="dxa"/>
            <w:gridSpan w:val="7"/>
          </w:tcPr>
          <w:p w:rsidR="00EA78E7" w:rsidRDefault="00A71678">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EA78E7">
        <w:trPr>
          <w:cantSplit/>
          <w:trHeight w:val="288"/>
        </w:trPr>
        <w:tc>
          <w:tcPr>
            <w:tcW w:w="13566" w:type="dxa"/>
            <w:gridSpan w:val="6"/>
          </w:tcPr>
          <w:p w:rsidR="00EA78E7" w:rsidRDefault="00A71678">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50" w:type="dxa"/>
            <w:vAlign w:val="center"/>
          </w:tcPr>
          <w:p w:rsidR="00EA78E7" w:rsidRDefault="00A71678">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EA78E7">
        <w:trPr>
          <w:cantSplit/>
          <w:trHeight w:val="319"/>
        </w:trPr>
        <w:tc>
          <w:tcPr>
            <w:tcW w:w="1792" w:type="dxa"/>
            <w:vMerge w:val="restart"/>
            <w:tcBorders>
              <w:top w:val="single" w:sz="6" w:space="0" w:color="000000"/>
              <w:left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项目支出</w:t>
            </w:r>
          </w:p>
        </w:tc>
      </w:tr>
      <w:tr w:rsidR="00EA78E7">
        <w:trPr>
          <w:cantSplit/>
          <w:trHeight w:val="341"/>
        </w:trPr>
        <w:tc>
          <w:tcPr>
            <w:tcW w:w="1792" w:type="dxa"/>
            <w:vMerge/>
            <w:tcBorders>
              <w:left w:val="single" w:sz="6" w:space="0" w:color="000000"/>
              <w:bottom w:val="single" w:sz="6" w:space="0" w:color="000000"/>
            </w:tcBorders>
            <w:vAlign w:val="center"/>
          </w:tcPr>
          <w:p w:rsidR="00EA78E7" w:rsidRDefault="00EA78E7">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EA78E7" w:rsidRDefault="00EA78E7">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EA78E7" w:rsidRDefault="00EA78E7">
            <w:pPr>
              <w:rPr>
                <w:rFonts w:ascii="仿宋" w:eastAsia="仿宋" w:hAnsi="仿宋" w:cs="仿宋"/>
              </w:rPr>
            </w:pPr>
          </w:p>
        </w:tc>
        <w:tc>
          <w:tcPr>
            <w:tcW w:w="1693" w:type="dxa"/>
            <w:tcBorders>
              <w:left w:val="single" w:sz="6" w:space="0" w:color="000000"/>
              <w:bottom w:val="single" w:sz="6" w:space="0" w:color="000000"/>
            </w:tcBorders>
            <w:vAlign w:val="center"/>
          </w:tcPr>
          <w:p w:rsidR="00EA78E7" w:rsidRDefault="00A71678">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EA78E7" w:rsidRDefault="00A71678">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EA78E7" w:rsidRDefault="00A71678">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EA78E7" w:rsidRDefault="00EA78E7">
            <w:pPr>
              <w:rPr>
                <w:rFonts w:ascii="仿宋" w:eastAsia="仿宋" w:hAnsi="仿宋" w:cs="仿宋"/>
              </w:rPr>
            </w:pPr>
          </w:p>
        </w:tc>
      </w:tr>
      <w:tr w:rsidR="00EA78E7">
        <w:trPr>
          <w:cantSplit/>
          <w:trHeight w:hRule="exact" w:val="378"/>
        </w:trPr>
        <w:tc>
          <w:tcPr>
            <w:tcW w:w="6099" w:type="dxa"/>
            <w:gridSpan w:val="2"/>
            <w:tcBorders>
              <w:left w:val="single" w:sz="6" w:space="0" w:color="000000"/>
              <w:bottom w:val="single" w:sz="6"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38,101.91</w:t>
            </w:r>
          </w:p>
        </w:tc>
        <w:tc>
          <w:tcPr>
            <w:tcW w:w="1693" w:type="dxa"/>
            <w:tcBorders>
              <w:left w:val="single" w:sz="6" w:space="0" w:color="000000"/>
              <w:bottom w:val="single" w:sz="6"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35,301.91</w:t>
            </w:r>
          </w:p>
        </w:tc>
        <w:tc>
          <w:tcPr>
            <w:tcW w:w="1987" w:type="dxa"/>
            <w:tcBorders>
              <w:left w:val="single" w:sz="6" w:space="0" w:color="000000"/>
              <w:bottom w:val="single" w:sz="6"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30,441.91</w:t>
            </w:r>
          </w:p>
        </w:tc>
        <w:tc>
          <w:tcPr>
            <w:tcW w:w="1827" w:type="dxa"/>
            <w:tcBorders>
              <w:left w:val="single" w:sz="6" w:space="0" w:color="000000"/>
              <w:bottom w:val="single" w:sz="6"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1650" w:type="dxa"/>
            <w:tcBorders>
              <w:left w:val="single" w:sz="6" w:space="0" w:color="000000"/>
              <w:bottom w:val="single" w:sz="6" w:space="0" w:color="000000"/>
              <w:right w:val="single" w:sz="6" w:space="0" w:color="000000"/>
            </w:tcBorders>
          </w:tcPr>
          <w:p w:rsidR="00EA78E7" w:rsidRDefault="00A71678">
            <w:pPr>
              <w:pStyle w:val="TableParagraph"/>
              <w:jc w:val="right"/>
              <w:rPr>
                <w:rFonts w:ascii="仿宋" w:eastAsia="仿宋" w:hAnsi="仿宋" w:cs="仿宋"/>
              </w:rPr>
            </w:pPr>
            <w:r>
              <w:rPr>
                <w:rFonts w:ascii="仿宋" w:eastAsia="仿宋" w:hAnsi="仿宋" w:cs="仿宋" w:hint="eastAsia"/>
              </w:rPr>
              <w:t>2,800.00</w:t>
            </w: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33,283.95</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30,483.95</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25,623.95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2,800.00</w:t>
            </w: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33,283.95</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30,483.95</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25,623.95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2,800.00</w:t>
            </w: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2050205</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高等教育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33,283.95</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30,483.95</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25,623.95</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2,800.00</w:t>
            </w: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3,782.60</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693"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987" w:type="dxa"/>
            <w:tcBorders>
              <w:top w:val="single" w:sz="6" w:space="0" w:color="000000"/>
              <w:left w:val="single" w:sz="4" w:space="0" w:color="000000"/>
              <w:bottom w:val="single" w:sz="6"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1,035.36</w:t>
            </w:r>
          </w:p>
        </w:tc>
        <w:tc>
          <w:tcPr>
            <w:tcW w:w="1827" w:type="dxa"/>
            <w:tcBorders>
              <w:top w:val="single" w:sz="6" w:space="0" w:color="000000"/>
              <w:left w:val="single" w:sz="4" w:space="0" w:color="000000"/>
              <w:bottom w:val="single" w:sz="6"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A78E7" w:rsidRDefault="00EA78E7">
            <w:pPr>
              <w:pStyle w:val="TableParagraph"/>
              <w:jc w:val="right"/>
              <w:rPr>
                <w:rFonts w:ascii="仿宋" w:eastAsia="仿宋" w:hAnsi="仿宋" w:cs="仿宋"/>
              </w:rPr>
            </w:pPr>
          </w:p>
        </w:tc>
      </w:tr>
    </w:tbl>
    <w:p w:rsidR="00EA78E7" w:rsidRDefault="00EA78E7">
      <w:pPr>
        <w:spacing w:before="25"/>
        <w:rPr>
          <w:rFonts w:ascii="仿宋" w:eastAsia="仿宋" w:hAnsi="仿宋" w:cs="仿宋"/>
          <w:b/>
          <w:bCs/>
        </w:rPr>
        <w:sectPr w:rsidR="00EA78E7">
          <w:footerReference w:type="default" r:id="rId17"/>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EA78E7">
        <w:trPr>
          <w:cantSplit/>
          <w:trHeight w:val="319"/>
        </w:trPr>
        <w:tc>
          <w:tcPr>
            <w:tcW w:w="10954" w:type="dxa"/>
            <w:gridSpan w:val="5"/>
          </w:tcPr>
          <w:p w:rsidR="00EA78E7" w:rsidRDefault="00A71678">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EA78E7">
        <w:trPr>
          <w:cantSplit/>
          <w:trHeight w:val="189"/>
        </w:trPr>
        <w:tc>
          <w:tcPr>
            <w:tcW w:w="10954" w:type="dxa"/>
            <w:gridSpan w:val="5"/>
          </w:tcPr>
          <w:p w:rsidR="00EA78E7" w:rsidRDefault="00A71678">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EA78E7">
        <w:trPr>
          <w:cantSplit/>
          <w:trHeight w:val="138"/>
        </w:trPr>
        <w:tc>
          <w:tcPr>
            <w:tcW w:w="9281" w:type="dxa"/>
            <w:gridSpan w:val="4"/>
            <w:vAlign w:val="center"/>
          </w:tcPr>
          <w:p w:rsidR="00EA78E7" w:rsidRDefault="00A7167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1673" w:type="dxa"/>
            <w:vAlign w:val="center"/>
          </w:tcPr>
          <w:p w:rsidR="00EA78E7" w:rsidRDefault="00A71678">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EA78E7">
        <w:trPr>
          <w:cantSplit/>
          <w:trHeight w:val="180"/>
        </w:trPr>
        <w:tc>
          <w:tcPr>
            <w:tcW w:w="4894" w:type="dxa"/>
            <w:gridSpan w:val="2"/>
            <w:tcBorders>
              <w:top w:val="single" w:sz="4" w:space="0" w:color="000000"/>
              <w:left w:val="single" w:sz="4" w:space="0" w:color="000000"/>
              <w:bottom w:val="single" w:sz="4" w:space="0" w:color="000000"/>
            </w:tcBorders>
            <w:vAlign w:val="center"/>
          </w:tcPr>
          <w:p w:rsidR="00EA78E7" w:rsidRDefault="00A71678">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EA78E7" w:rsidRDefault="00A71678">
            <w:pPr>
              <w:jc w:val="center"/>
              <w:rPr>
                <w:rFonts w:ascii="仿宋" w:eastAsia="仿宋" w:hAnsi="仿宋" w:cs="仿宋"/>
              </w:rPr>
            </w:pPr>
            <w:r>
              <w:rPr>
                <w:rFonts w:ascii="仿宋" w:eastAsia="仿宋" w:hAnsi="仿宋" w:cs="仿宋" w:hint="eastAsia"/>
              </w:rPr>
              <w:t>本年一般公共预算基本支出</w:t>
            </w:r>
          </w:p>
        </w:tc>
      </w:tr>
      <w:tr w:rsidR="00EA78E7">
        <w:trPr>
          <w:cantSplit/>
          <w:trHeight w:val="190"/>
        </w:trPr>
        <w:tc>
          <w:tcPr>
            <w:tcW w:w="1227"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公用经费</w:t>
            </w:r>
          </w:p>
        </w:tc>
      </w:tr>
      <w:tr w:rsidR="00EA78E7">
        <w:trPr>
          <w:cantSplit/>
          <w:trHeight w:hRule="exact" w:val="382"/>
        </w:trPr>
        <w:tc>
          <w:tcPr>
            <w:tcW w:w="4894" w:type="dxa"/>
            <w:gridSpan w:val="2"/>
            <w:tcBorders>
              <w:left w:val="single" w:sz="4" w:space="0" w:color="000000"/>
              <w:bottom w:val="single" w:sz="4" w:space="0" w:color="000000"/>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35,301.91</w:t>
            </w:r>
          </w:p>
        </w:tc>
        <w:tc>
          <w:tcPr>
            <w:tcW w:w="1974" w:type="dxa"/>
            <w:tcBorders>
              <w:left w:val="single" w:sz="4" w:space="0" w:color="000000"/>
              <w:bottom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30,441.91</w:t>
            </w:r>
          </w:p>
        </w:tc>
        <w:tc>
          <w:tcPr>
            <w:tcW w:w="1673" w:type="dxa"/>
            <w:tcBorders>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29,320.35</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29,320.35</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7,326.96</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7,326.96</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761.41</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761.41</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15,255.82</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15,255.82</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1,843.76</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1,938.84</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2,193.56</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2,193.56</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4,860.00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185.00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185.00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30202</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印刷费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260.00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260.00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30203</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咨询费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15.00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30204</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手续费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30209</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物业管理费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1,300.00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1,300.00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500.00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500.00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30218</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专用材料费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300.00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65.00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45.00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45.00</w:t>
            </w: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1,121.56</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1,121.56</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68.97</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68.97</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1,031.59</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1,031.59</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r w:rsidR="00EA78E7">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 xml:space="preserve">  30307</w:t>
            </w:r>
          </w:p>
        </w:tc>
        <w:tc>
          <w:tcPr>
            <w:tcW w:w="3667"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rPr>
                <w:rFonts w:ascii="仿宋" w:eastAsia="仿宋" w:hAnsi="仿宋" w:cs="仿宋"/>
              </w:rPr>
            </w:pPr>
            <w:r>
              <w:rPr>
                <w:rFonts w:ascii="仿宋" w:eastAsia="仿宋" w:hAnsi="仿宋" w:cs="仿宋" w:hint="eastAsia"/>
              </w:rPr>
              <w:t>医疗费补助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21.00</w:t>
            </w:r>
          </w:p>
        </w:tc>
        <w:tc>
          <w:tcPr>
            <w:tcW w:w="1974" w:type="dxa"/>
            <w:tcBorders>
              <w:top w:val="single" w:sz="4" w:space="0" w:color="000000"/>
              <w:left w:val="single" w:sz="4" w:space="0" w:color="000000"/>
              <w:bottom w:val="single" w:sz="4" w:space="0" w:color="000000"/>
              <w:right w:val="single" w:sz="4" w:space="0" w:color="000000"/>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21.00</w:t>
            </w:r>
          </w:p>
        </w:tc>
        <w:tc>
          <w:tcPr>
            <w:tcW w:w="1673" w:type="dxa"/>
            <w:tcBorders>
              <w:top w:val="single" w:sz="4" w:space="0" w:color="000000"/>
              <w:left w:val="single" w:sz="4" w:space="0" w:color="000000"/>
              <w:bottom w:val="single" w:sz="4" w:space="0" w:color="000000"/>
              <w:right w:val="single" w:sz="4" w:space="0" w:color="000000"/>
            </w:tcBorders>
            <w:vAlign w:val="center"/>
          </w:tcPr>
          <w:p w:rsidR="00EA78E7" w:rsidRDefault="00EA78E7">
            <w:pPr>
              <w:pStyle w:val="TableParagraph"/>
              <w:jc w:val="right"/>
              <w:rPr>
                <w:rFonts w:ascii="仿宋" w:eastAsia="仿宋" w:hAnsi="仿宋" w:cs="仿宋"/>
              </w:rPr>
            </w:pPr>
          </w:p>
        </w:tc>
      </w:tr>
    </w:tbl>
    <w:p w:rsidR="00EA78E7" w:rsidRDefault="00EA78E7">
      <w:pPr>
        <w:spacing w:before="25"/>
        <w:rPr>
          <w:rFonts w:ascii="仿宋" w:eastAsia="仿宋" w:hAnsi="仿宋" w:cs="仿宋"/>
          <w:b/>
          <w:bCs/>
        </w:rPr>
        <w:sectPr w:rsidR="00EA78E7">
          <w:footerReference w:type="default" r:id="rId18"/>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EA78E7">
        <w:trPr>
          <w:cantSplit/>
          <w:trHeight w:val="321"/>
        </w:trPr>
        <w:tc>
          <w:tcPr>
            <w:tcW w:w="15909" w:type="dxa"/>
            <w:gridSpan w:val="8"/>
          </w:tcPr>
          <w:p w:rsidR="00EA78E7" w:rsidRDefault="00A71678">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EA78E7">
        <w:trPr>
          <w:cantSplit/>
          <w:trHeight w:val="207"/>
        </w:trPr>
        <w:tc>
          <w:tcPr>
            <w:tcW w:w="15909" w:type="dxa"/>
            <w:gridSpan w:val="8"/>
          </w:tcPr>
          <w:p w:rsidR="00EA78E7" w:rsidRDefault="00A71678">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EA78E7">
        <w:trPr>
          <w:cantSplit/>
          <w:trHeight w:val="103"/>
        </w:trPr>
        <w:tc>
          <w:tcPr>
            <w:tcW w:w="12069" w:type="dxa"/>
            <w:gridSpan w:val="6"/>
            <w:tcBorders>
              <w:bottom w:val="single" w:sz="4" w:space="0" w:color="auto"/>
            </w:tcBorders>
          </w:tcPr>
          <w:p w:rsidR="00EA78E7" w:rsidRDefault="00A7167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840" w:type="dxa"/>
            <w:gridSpan w:val="2"/>
            <w:tcBorders>
              <w:bottom w:val="single" w:sz="4" w:space="0" w:color="auto"/>
            </w:tcBorders>
            <w:vAlign w:val="center"/>
          </w:tcPr>
          <w:p w:rsidR="00EA78E7" w:rsidRDefault="00A71678">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EA78E7">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sz w:val="20"/>
              </w:rPr>
            </w:pPr>
            <w:r>
              <w:rPr>
                <w:rFonts w:ascii="仿宋" w:eastAsia="仿宋" w:hAnsi="仿宋" w:cs="仿宋" w:hint="eastAsia"/>
              </w:rPr>
              <w:t>培训费</w:t>
            </w:r>
          </w:p>
        </w:tc>
      </w:tr>
      <w:tr w:rsidR="00EA78E7">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EA78E7" w:rsidRDefault="00EA78E7">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EA78E7" w:rsidRDefault="00EA78E7">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EA78E7" w:rsidRDefault="00EA78E7">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EA78E7" w:rsidRDefault="00EA78E7">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EA78E7" w:rsidRDefault="00EA78E7">
            <w:pPr>
              <w:rPr>
                <w:rFonts w:ascii="仿宋" w:eastAsia="仿宋" w:hAnsi="仿宋" w:cs="仿宋"/>
                <w:sz w:val="2"/>
                <w:szCs w:val="2"/>
              </w:rPr>
            </w:pPr>
          </w:p>
        </w:tc>
      </w:tr>
      <w:tr w:rsidR="00EA78E7">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2332"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2057"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c>
          <w:tcPr>
            <w:tcW w:w="1783"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0.00</w:t>
            </w:r>
          </w:p>
        </w:tc>
      </w:tr>
    </w:tbl>
    <w:p w:rsidR="00EA78E7" w:rsidRDefault="00A71678">
      <w:pPr>
        <w:ind w:left="-220"/>
        <w:rPr>
          <w:rFonts w:ascii="仿宋" w:eastAsia="仿宋" w:hAnsi="仿宋" w:cs="仿宋"/>
          <w:b/>
          <w:bCs/>
        </w:rPr>
      </w:pPr>
      <w:r>
        <w:rPr>
          <w:rFonts w:ascii="仿宋" w:eastAsia="仿宋" w:hAnsi="仿宋" w:cs="仿宋" w:hint="eastAsia"/>
          <w:b/>
          <w:bCs/>
        </w:rPr>
        <w:t>注：</w:t>
      </w:r>
      <w:r>
        <w:rPr>
          <w:rFonts w:ascii="仿宋" w:eastAsia="仿宋" w:hAnsi="仿宋" w:cs="仿宋" w:hint="eastAsia"/>
          <w:b/>
          <w:bCs/>
        </w:rPr>
        <w:t>本</w:t>
      </w:r>
      <w:r>
        <w:rPr>
          <w:rFonts w:ascii="仿宋" w:eastAsia="仿宋" w:hAnsi="仿宋" w:cs="仿宋"/>
          <w:b/>
        </w:rPr>
        <w:t>单位无一般公共预算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经费、会议费、培训费支出，故本表无数据。</w:t>
      </w:r>
    </w:p>
    <w:p w:rsidR="00EA78E7" w:rsidRDefault="00EA78E7">
      <w:pPr>
        <w:ind w:left="227" w:firstLineChars="100" w:firstLine="221"/>
        <w:rPr>
          <w:rFonts w:ascii="仿宋" w:eastAsia="仿宋" w:hAnsi="仿宋" w:cs="仿宋"/>
          <w:b/>
          <w:bCs/>
        </w:rPr>
        <w:sectPr w:rsidR="00EA78E7">
          <w:footerReference w:type="default" r:id="rId19"/>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EA78E7">
        <w:trPr>
          <w:cantSplit/>
          <w:trHeight w:val="213"/>
        </w:trPr>
        <w:tc>
          <w:tcPr>
            <w:tcW w:w="10812" w:type="dxa"/>
            <w:gridSpan w:val="5"/>
            <w:tcBorders>
              <w:top w:val="nil"/>
              <w:left w:val="nil"/>
              <w:bottom w:val="nil"/>
              <w:right w:val="nil"/>
            </w:tcBorders>
            <w:vAlign w:val="center"/>
          </w:tcPr>
          <w:p w:rsidR="00EA78E7" w:rsidRDefault="00A71678">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EA78E7">
        <w:trPr>
          <w:cantSplit/>
          <w:trHeight w:val="213"/>
        </w:trPr>
        <w:tc>
          <w:tcPr>
            <w:tcW w:w="10812" w:type="dxa"/>
            <w:gridSpan w:val="5"/>
            <w:tcBorders>
              <w:top w:val="nil"/>
              <w:left w:val="nil"/>
              <w:bottom w:val="nil"/>
              <w:right w:val="nil"/>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EA78E7">
        <w:trPr>
          <w:cantSplit/>
          <w:trHeight w:val="213"/>
        </w:trPr>
        <w:tc>
          <w:tcPr>
            <w:tcW w:w="8327" w:type="dxa"/>
            <w:gridSpan w:val="4"/>
            <w:tcBorders>
              <w:top w:val="nil"/>
              <w:left w:val="nil"/>
              <w:bottom w:val="single" w:sz="4" w:space="0" w:color="auto"/>
              <w:right w:val="nil"/>
            </w:tcBorders>
            <w:vAlign w:val="center"/>
          </w:tcPr>
          <w:p w:rsidR="00EA78E7" w:rsidRDefault="00A71678">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485" w:type="dxa"/>
            <w:tcBorders>
              <w:top w:val="nil"/>
              <w:left w:val="nil"/>
              <w:bottom w:val="single" w:sz="4" w:space="0" w:color="auto"/>
              <w:right w:val="nil"/>
            </w:tcBorders>
            <w:vAlign w:val="center"/>
          </w:tcPr>
          <w:p w:rsidR="00EA78E7" w:rsidRDefault="00A71678">
            <w:pPr>
              <w:pStyle w:val="TableParagraph"/>
              <w:jc w:val="right"/>
              <w:rPr>
                <w:rFonts w:ascii="仿宋" w:eastAsia="仿宋" w:hAnsi="仿宋" w:cs="仿宋"/>
              </w:rPr>
            </w:pPr>
            <w:r>
              <w:rPr>
                <w:rFonts w:ascii="仿宋" w:eastAsia="仿宋" w:hAnsi="仿宋" w:cs="仿宋" w:hint="eastAsia"/>
              </w:rPr>
              <w:t>单位：万元</w:t>
            </w:r>
          </w:p>
        </w:tc>
      </w:tr>
      <w:tr w:rsidR="00EA78E7">
        <w:trPr>
          <w:cantSplit/>
          <w:trHeight w:val="187"/>
        </w:trPr>
        <w:tc>
          <w:tcPr>
            <w:tcW w:w="1618" w:type="dxa"/>
            <w:vMerge w:val="restart"/>
            <w:tcBorders>
              <w:top w:val="single" w:sz="4" w:space="0" w:color="auto"/>
              <w:left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本年政府性基金预算支出</w:t>
            </w:r>
          </w:p>
        </w:tc>
      </w:tr>
      <w:tr w:rsidR="00EA78E7">
        <w:trPr>
          <w:cantSplit/>
          <w:trHeight w:val="139"/>
        </w:trPr>
        <w:tc>
          <w:tcPr>
            <w:tcW w:w="1618" w:type="dxa"/>
            <w:vMerge/>
            <w:tcBorders>
              <w:left w:val="single" w:sz="4" w:space="0" w:color="auto"/>
              <w:bottom w:val="single" w:sz="4" w:space="0" w:color="auto"/>
              <w:right w:val="single" w:sz="4" w:space="0" w:color="auto"/>
            </w:tcBorders>
            <w:vAlign w:val="center"/>
          </w:tcPr>
          <w:p w:rsidR="00EA78E7" w:rsidRDefault="00EA78E7">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EA78E7" w:rsidRDefault="00EA78E7">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项目支出</w:t>
            </w:r>
          </w:p>
        </w:tc>
      </w:tr>
      <w:tr w:rsidR="00EA78E7">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EA78E7" w:rsidRDefault="00EA78E7">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A78E7" w:rsidRDefault="00A71678">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r>
      <w:tr w:rsidR="00EA78E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EA78E7" w:rsidRDefault="00EA78E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A78E7" w:rsidRDefault="00EA78E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r>
      <w:tr w:rsidR="00EA78E7">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EA78E7" w:rsidRDefault="00EA78E7">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A78E7" w:rsidRDefault="00EA78E7">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A78E7" w:rsidRDefault="00EA78E7">
            <w:pPr>
              <w:jc w:val="right"/>
              <w:rPr>
                <w:rFonts w:ascii="仿宋" w:eastAsia="仿宋" w:hAnsi="仿宋" w:cs="仿宋"/>
              </w:rPr>
            </w:pPr>
          </w:p>
        </w:tc>
      </w:tr>
    </w:tbl>
    <w:p w:rsidR="00EA78E7" w:rsidRDefault="00A71678">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EA78E7" w:rsidRDefault="00EA78E7">
      <w:pPr>
        <w:spacing w:before="25"/>
        <w:rPr>
          <w:rFonts w:ascii="仿宋" w:eastAsia="仿宋" w:hAnsi="仿宋" w:cs="仿宋"/>
          <w:b/>
          <w:bCs/>
          <w:lang w:val="en-US"/>
        </w:rPr>
        <w:sectPr w:rsidR="00EA78E7">
          <w:footerReference w:type="default" r:id="rId20"/>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EA78E7">
        <w:trPr>
          <w:cantSplit/>
          <w:trHeight w:val="447"/>
          <w:jc w:val="center"/>
        </w:trPr>
        <w:tc>
          <w:tcPr>
            <w:tcW w:w="14695" w:type="dxa"/>
            <w:gridSpan w:val="5"/>
            <w:tcBorders>
              <w:top w:val="nil"/>
              <w:left w:val="nil"/>
              <w:bottom w:val="nil"/>
              <w:right w:val="nil"/>
            </w:tcBorders>
            <w:shd w:val="clear" w:color="auto" w:fill="auto"/>
            <w:vAlign w:val="center"/>
          </w:tcPr>
          <w:p w:rsidR="00EA78E7" w:rsidRDefault="00A71678">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EA78E7">
        <w:trPr>
          <w:cantSplit/>
          <w:trHeight w:val="960"/>
          <w:jc w:val="center"/>
        </w:trPr>
        <w:tc>
          <w:tcPr>
            <w:tcW w:w="14695" w:type="dxa"/>
            <w:gridSpan w:val="5"/>
            <w:tcBorders>
              <w:top w:val="nil"/>
              <w:left w:val="nil"/>
              <w:bottom w:val="nil"/>
              <w:right w:val="nil"/>
            </w:tcBorders>
            <w:shd w:val="clear" w:color="auto" w:fill="auto"/>
            <w:vAlign w:val="center"/>
          </w:tcPr>
          <w:p w:rsidR="00EA78E7" w:rsidRDefault="00A71678">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EA78E7">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EA78E7" w:rsidRDefault="00A71678">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3091" w:type="dxa"/>
            <w:tcBorders>
              <w:top w:val="nil"/>
              <w:left w:val="nil"/>
              <w:bottom w:val="nil"/>
              <w:right w:val="nil"/>
            </w:tcBorders>
            <w:shd w:val="clear" w:color="auto" w:fill="auto"/>
            <w:noWrap/>
            <w:vAlign w:val="center"/>
          </w:tcPr>
          <w:p w:rsidR="00EA78E7" w:rsidRDefault="00A71678">
            <w:pPr>
              <w:widowControl/>
              <w:jc w:val="right"/>
              <w:rPr>
                <w:rFonts w:ascii="仿宋" w:eastAsia="仿宋" w:hAnsi="仿宋" w:cs="仿宋"/>
              </w:rPr>
            </w:pPr>
            <w:r>
              <w:rPr>
                <w:rFonts w:ascii="仿宋" w:eastAsia="仿宋" w:hAnsi="仿宋" w:cs="仿宋" w:hint="eastAsia"/>
              </w:rPr>
              <w:t>单位：万元</w:t>
            </w:r>
          </w:p>
        </w:tc>
      </w:tr>
      <w:tr w:rsidR="00EA78E7">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项目支出</w:t>
            </w:r>
          </w:p>
        </w:tc>
      </w:tr>
      <w:tr w:rsidR="00EA78E7">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功能分类</w:t>
            </w:r>
          </w:p>
          <w:p w:rsidR="00EA78E7" w:rsidRDefault="00A71678">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EA78E7" w:rsidRDefault="00EA78E7">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EA78E7" w:rsidRDefault="00EA78E7">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EA78E7" w:rsidRDefault="00EA78E7">
            <w:pPr>
              <w:widowControl/>
              <w:spacing w:line="34" w:lineRule="atLeast"/>
              <w:rPr>
                <w:rFonts w:ascii="仿宋" w:eastAsia="仿宋" w:hAnsi="仿宋" w:cs="仿宋"/>
              </w:rPr>
            </w:pPr>
          </w:p>
        </w:tc>
      </w:tr>
      <w:tr w:rsidR="00EA78E7">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3</w:t>
            </w:r>
          </w:p>
        </w:tc>
      </w:tr>
      <w:tr w:rsidR="00EA78E7">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A71678">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r>
      <w:tr w:rsidR="00EA78E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r>
      <w:tr w:rsidR="00EA78E7">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A78E7" w:rsidRDefault="00EA78E7">
            <w:pPr>
              <w:widowControl/>
              <w:spacing w:line="34" w:lineRule="atLeast"/>
              <w:jc w:val="right"/>
              <w:rPr>
                <w:rFonts w:ascii="仿宋" w:eastAsia="仿宋" w:hAnsi="仿宋" w:cs="仿宋"/>
              </w:rPr>
            </w:pPr>
          </w:p>
        </w:tc>
      </w:tr>
    </w:tbl>
    <w:p w:rsidR="00EA78E7" w:rsidRDefault="00A71678">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EA78E7" w:rsidRDefault="00EA78E7">
      <w:pPr>
        <w:spacing w:before="25"/>
        <w:rPr>
          <w:rFonts w:ascii="仿宋" w:eastAsia="仿宋" w:hAnsi="仿宋" w:cs="仿宋"/>
          <w:b/>
          <w:bCs/>
          <w:lang w:val="en-US"/>
        </w:rPr>
        <w:sectPr w:rsidR="00EA78E7">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EA78E7">
        <w:trPr>
          <w:cantSplit/>
          <w:trHeight w:val="319"/>
        </w:trPr>
        <w:tc>
          <w:tcPr>
            <w:tcW w:w="10235" w:type="dxa"/>
            <w:gridSpan w:val="4"/>
          </w:tcPr>
          <w:p w:rsidR="00EA78E7" w:rsidRDefault="00A71678">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EA78E7">
        <w:trPr>
          <w:cantSplit/>
          <w:trHeight w:val="90"/>
        </w:trPr>
        <w:tc>
          <w:tcPr>
            <w:tcW w:w="10235" w:type="dxa"/>
            <w:gridSpan w:val="4"/>
          </w:tcPr>
          <w:p w:rsidR="00EA78E7" w:rsidRDefault="00A71678">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EA78E7">
        <w:trPr>
          <w:cantSplit/>
          <w:trHeight w:val="90"/>
        </w:trPr>
        <w:tc>
          <w:tcPr>
            <w:tcW w:w="7884" w:type="dxa"/>
            <w:gridSpan w:val="3"/>
            <w:tcBorders>
              <w:bottom w:val="single" w:sz="4" w:space="0" w:color="auto"/>
            </w:tcBorders>
            <w:vAlign w:val="center"/>
          </w:tcPr>
          <w:p w:rsidR="00EA78E7" w:rsidRDefault="00A71678">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2351" w:type="dxa"/>
            <w:tcBorders>
              <w:bottom w:val="single" w:sz="4" w:space="0" w:color="auto"/>
            </w:tcBorders>
            <w:vAlign w:val="center"/>
          </w:tcPr>
          <w:p w:rsidR="00EA78E7" w:rsidRDefault="00A71678">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EA78E7">
        <w:trPr>
          <w:cantSplit/>
          <w:trHeight w:val="163"/>
        </w:trPr>
        <w:tc>
          <w:tcPr>
            <w:tcW w:w="3088" w:type="dxa"/>
            <w:tcBorders>
              <w:top w:val="single" w:sz="4" w:space="0" w:color="auto"/>
              <w:left w:val="single" w:sz="4" w:space="0" w:color="auto"/>
              <w:bottom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EA78E7" w:rsidRDefault="00A71678">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EA78E7" w:rsidRDefault="00A71678">
            <w:pPr>
              <w:jc w:val="center"/>
              <w:rPr>
                <w:rFonts w:ascii="仿宋" w:eastAsia="仿宋" w:hAnsi="仿宋" w:cs="仿宋"/>
              </w:rPr>
            </w:pPr>
            <w:r>
              <w:rPr>
                <w:rFonts w:ascii="仿宋" w:eastAsia="仿宋" w:hAnsi="仿宋" w:cs="仿宋" w:hint="eastAsia"/>
              </w:rPr>
              <w:t>机关运行经费支出</w:t>
            </w:r>
          </w:p>
        </w:tc>
      </w:tr>
      <w:tr w:rsidR="00EA78E7">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EA78E7" w:rsidRDefault="00A71678">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A78E7" w:rsidRDefault="00EA78E7">
            <w:pPr>
              <w:pStyle w:val="TableParagraph"/>
              <w:jc w:val="right"/>
              <w:rPr>
                <w:rFonts w:ascii="仿宋" w:eastAsia="仿宋" w:hAnsi="仿宋" w:cs="仿宋"/>
              </w:rPr>
            </w:pPr>
          </w:p>
        </w:tc>
      </w:tr>
      <w:tr w:rsidR="00EA78E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A78E7" w:rsidRDefault="00EA78E7">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EA78E7" w:rsidRDefault="00EA78E7">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A78E7" w:rsidRDefault="00EA78E7">
            <w:pPr>
              <w:pStyle w:val="TableParagraph"/>
              <w:jc w:val="right"/>
              <w:rPr>
                <w:rFonts w:ascii="仿宋" w:eastAsia="仿宋" w:hAnsi="仿宋" w:cs="仿宋"/>
              </w:rPr>
            </w:pPr>
          </w:p>
        </w:tc>
      </w:tr>
      <w:tr w:rsidR="00EA78E7">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A78E7" w:rsidRDefault="00EA78E7">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EA78E7" w:rsidRDefault="00EA78E7">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A78E7" w:rsidRDefault="00EA78E7">
            <w:pPr>
              <w:pStyle w:val="TableParagraph"/>
              <w:jc w:val="right"/>
              <w:rPr>
                <w:rFonts w:ascii="仿宋" w:eastAsia="仿宋" w:hAnsi="仿宋" w:cs="仿宋"/>
              </w:rPr>
            </w:pPr>
          </w:p>
        </w:tc>
      </w:tr>
    </w:tbl>
    <w:p w:rsidR="00EA78E7" w:rsidRDefault="00A71678">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A78E7" w:rsidRDefault="00A71678">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EA78E7" w:rsidRDefault="00EA78E7">
      <w:pPr>
        <w:spacing w:before="78" w:line="290" w:lineRule="auto"/>
        <w:ind w:left="227" w:right="57"/>
        <w:jc w:val="both"/>
        <w:rPr>
          <w:rFonts w:ascii="仿宋" w:eastAsia="仿宋" w:hAnsi="仿宋" w:cs="仿宋"/>
          <w:b/>
          <w:bCs/>
        </w:rPr>
        <w:sectPr w:rsidR="00EA78E7">
          <w:footerReference w:type="default" r:id="rId21"/>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776"/>
        <w:gridCol w:w="1105"/>
        <w:gridCol w:w="1121"/>
        <w:gridCol w:w="1192"/>
        <w:gridCol w:w="1200"/>
        <w:gridCol w:w="1548"/>
      </w:tblGrid>
      <w:tr w:rsidR="00EA78E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EA78E7" w:rsidRDefault="00A71678">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EA78E7">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EA78E7" w:rsidRDefault="00A71678">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EA78E7">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EA78E7" w:rsidRDefault="00A71678">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江苏理工学院</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EA78E7" w:rsidRDefault="00EA78E7">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EA78E7" w:rsidRDefault="00A71678">
            <w:pPr>
              <w:pStyle w:val="TableParagraph"/>
              <w:jc w:val="right"/>
              <w:rPr>
                <w:rFonts w:ascii="仿宋" w:eastAsia="仿宋" w:hAnsi="仿宋" w:cs="仿宋"/>
                <w:lang w:val="en-US"/>
              </w:rPr>
            </w:pPr>
            <w:r>
              <w:rPr>
                <w:rFonts w:ascii="仿宋" w:eastAsia="仿宋" w:hAnsi="仿宋" w:cs="仿宋" w:hint="eastAsia"/>
              </w:rPr>
              <w:t>单位：万元</w:t>
            </w:r>
          </w:p>
        </w:tc>
      </w:tr>
      <w:tr w:rsidR="00EA78E7">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EA78E7">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 xml:space="preserve">  </w:t>
            </w:r>
            <w:r>
              <w:rPr>
                <w:rFonts w:ascii="仿宋" w:eastAsia="仿宋" w:hAnsi="仿宋" w:cs="仿宋" w:hint="eastAsia"/>
                <w:lang w:val="en-US"/>
              </w:rPr>
              <w:t>江苏理工学院</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100.00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其他信息化设备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飞轮和皮带轮</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其他机械设备</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其他仪器仪表</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r>
      <w:tr w:rsidR="00EA78E7">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专用设备购置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其他电子和通信测量仪器</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EA78E7">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A78E7" w:rsidRDefault="00A71678">
            <w:pPr>
              <w:snapToGrid w:val="0"/>
              <w:ind w:right="57"/>
              <w:jc w:val="right"/>
              <w:rPr>
                <w:rFonts w:ascii="仿宋" w:eastAsia="仿宋" w:hAnsi="仿宋" w:cs="仿宋"/>
                <w:lang w:val="en-US"/>
              </w:rPr>
            </w:pPr>
            <w:r>
              <w:rPr>
                <w:rFonts w:ascii="仿宋" w:eastAsia="仿宋" w:hAnsi="仿宋" w:cs="仿宋" w:hint="eastAsia"/>
                <w:lang w:val="en-US"/>
              </w:rPr>
              <w:t>20.00</w:t>
            </w:r>
          </w:p>
        </w:tc>
      </w:tr>
    </w:tbl>
    <w:p w:rsidR="00EA78E7" w:rsidRDefault="00EA78E7">
      <w:pPr>
        <w:rPr>
          <w:rFonts w:ascii="仿宋" w:eastAsia="仿宋" w:hAnsi="仿宋" w:cs="仿宋"/>
          <w:b/>
          <w:bCs/>
        </w:rPr>
        <w:sectPr w:rsidR="00EA78E7">
          <w:footerReference w:type="default" r:id="rId22"/>
          <w:pgSz w:w="16838" w:h="11906" w:orient="landscape"/>
          <w:pgMar w:top="1320" w:right="567" w:bottom="1320" w:left="567" w:header="170" w:footer="280" w:gutter="0"/>
          <w:pgNumType w:fmt="numberInDash"/>
          <w:cols w:space="720"/>
          <w:formProt w:val="0"/>
          <w:docGrid w:linePitch="100"/>
        </w:sectPr>
      </w:pPr>
    </w:p>
    <w:p w:rsidR="00EA78E7" w:rsidRDefault="00A71678">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EA78E7" w:rsidRDefault="00EA78E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年度收入、支出预算总计</w:t>
      </w:r>
      <w:r>
        <w:rPr>
          <w:rFonts w:ascii="仿宋" w:eastAsia="仿宋" w:hAnsi="仿宋" w:cs="仿宋"/>
        </w:rPr>
        <w:t>70,561.91</w:t>
      </w:r>
      <w:r>
        <w:rPr>
          <w:rFonts w:ascii="仿宋" w:eastAsia="仿宋" w:hAnsi="仿宋" w:cs="仿宋"/>
        </w:rPr>
        <w:t>万元，与上年相比收、支预算总计各减少</w:t>
      </w:r>
      <w:r>
        <w:rPr>
          <w:rFonts w:ascii="仿宋" w:eastAsia="仿宋" w:hAnsi="仿宋" w:cs="仿宋"/>
        </w:rPr>
        <w:t>566.99</w:t>
      </w:r>
      <w:r>
        <w:rPr>
          <w:rFonts w:ascii="仿宋" w:eastAsia="仿宋" w:hAnsi="仿宋" w:cs="仿宋"/>
        </w:rPr>
        <w:t>万元，减少</w:t>
      </w:r>
      <w:r>
        <w:rPr>
          <w:rFonts w:ascii="仿宋" w:eastAsia="仿宋" w:hAnsi="仿宋" w:cs="仿宋"/>
        </w:rPr>
        <w:t>0.8%</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70,561.91</w:t>
      </w:r>
      <w:r>
        <w:rPr>
          <w:rFonts w:ascii="仿宋" w:eastAsia="仿宋" w:hAnsi="仿宋" w:cs="仿宋"/>
          <w:b/>
        </w:rPr>
        <w:t>万元。包括：</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70,561.91</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38,101.91</w:t>
      </w:r>
      <w:r>
        <w:rPr>
          <w:rFonts w:ascii="仿宋" w:eastAsia="仿宋" w:hAnsi="仿宋" w:cs="仿宋"/>
        </w:rPr>
        <w:t>万元，与上年相比增加</w:t>
      </w:r>
      <w:r>
        <w:rPr>
          <w:rFonts w:ascii="仿宋" w:eastAsia="仿宋" w:hAnsi="仿宋" w:cs="仿宋"/>
        </w:rPr>
        <w:t>2,068.01</w:t>
      </w:r>
      <w:r>
        <w:rPr>
          <w:rFonts w:ascii="仿宋" w:eastAsia="仿宋" w:hAnsi="仿宋" w:cs="仿宋"/>
        </w:rPr>
        <w:t>万元，增长</w:t>
      </w:r>
      <w:r>
        <w:rPr>
          <w:rFonts w:ascii="仿宋" w:eastAsia="仿宋" w:hAnsi="仿宋" w:cs="仿宋"/>
        </w:rPr>
        <w:t>5.74%</w:t>
      </w:r>
      <w:r>
        <w:rPr>
          <w:rFonts w:ascii="仿宋" w:eastAsia="仿宋" w:hAnsi="仿宋" w:cs="仿宋"/>
        </w:rPr>
        <w:t>。主要原因是学生人数增加、离退休人员补助增加及师范生补助专项经费增加等。</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w:t>
      </w:r>
      <w:r>
        <w:rPr>
          <w:rFonts w:ascii="仿宋" w:eastAsia="仿宋" w:hAnsi="仿宋" w:cs="仿宋"/>
        </w:rPr>
        <w:t>资本经营预算拨款收入</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18,700</w:t>
      </w:r>
      <w:r>
        <w:rPr>
          <w:rFonts w:ascii="仿宋" w:eastAsia="仿宋" w:hAnsi="仿宋" w:cs="仿宋"/>
        </w:rPr>
        <w:t>万元，与上年相比增加</w:t>
      </w:r>
      <w:r>
        <w:rPr>
          <w:rFonts w:ascii="仿宋" w:eastAsia="仿宋" w:hAnsi="仿宋" w:cs="仿宋"/>
        </w:rPr>
        <w:t>20</w:t>
      </w:r>
      <w:r>
        <w:rPr>
          <w:rFonts w:ascii="仿宋" w:eastAsia="仿宋" w:hAnsi="仿宋" w:cs="仿宋"/>
        </w:rPr>
        <w:t>万元，增长</w:t>
      </w:r>
      <w:r>
        <w:rPr>
          <w:rFonts w:ascii="仿宋" w:eastAsia="仿宋" w:hAnsi="仿宋" w:cs="仿宋"/>
        </w:rPr>
        <w:t>0.11%</w:t>
      </w:r>
      <w:r>
        <w:rPr>
          <w:rFonts w:ascii="仿宋" w:eastAsia="仿宋" w:hAnsi="仿宋" w:cs="仿宋"/>
        </w:rPr>
        <w:t>。主要原因是继续教育学历教育及培训费收入的增加。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12,000</w:t>
      </w:r>
      <w:r>
        <w:rPr>
          <w:rFonts w:ascii="仿宋" w:eastAsia="仿宋" w:hAnsi="仿宋" w:cs="仿宋"/>
        </w:rPr>
        <w:t>万元，与上年相比增加</w:t>
      </w:r>
      <w:r>
        <w:rPr>
          <w:rFonts w:ascii="仿宋" w:eastAsia="仿宋" w:hAnsi="仿宋" w:cs="仿宋"/>
        </w:rPr>
        <w:t>3,000</w:t>
      </w:r>
      <w:r>
        <w:rPr>
          <w:rFonts w:ascii="仿宋" w:eastAsia="仿宋" w:hAnsi="仿宋" w:cs="仿宋"/>
        </w:rPr>
        <w:t>万元，增长</w:t>
      </w:r>
      <w:r>
        <w:rPr>
          <w:rFonts w:ascii="仿宋" w:eastAsia="仿宋" w:hAnsi="仿宋" w:cs="仿宋"/>
        </w:rPr>
        <w:t>33.33%</w:t>
      </w:r>
      <w:r>
        <w:rPr>
          <w:rFonts w:ascii="仿宋" w:eastAsia="仿宋" w:hAnsi="仿宋" w:cs="仿宋"/>
        </w:rPr>
        <w:t>。主要原因是融入地方发展，服务地方能力增强，横向科研收入增加。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万元，与上年相比减少</w:t>
      </w:r>
      <w:r>
        <w:rPr>
          <w:rFonts w:ascii="仿宋" w:eastAsia="仿宋" w:hAnsi="仿宋" w:cs="仿宋"/>
        </w:rPr>
        <w:t>5,400</w:t>
      </w:r>
      <w:r>
        <w:rPr>
          <w:rFonts w:ascii="仿宋" w:eastAsia="仿宋" w:hAnsi="仿宋" w:cs="仿宋"/>
        </w:rPr>
        <w:t>万元，减少</w:t>
      </w:r>
      <w:r>
        <w:rPr>
          <w:rFonts w:ascii="仿宋" w:eastAsia="仿宋" w:hAnsi="仿宋" w:cs="仿宋"/>
        </w:rPr>
        <w:t>100%</w:t>
      </w:r>
      <w:r>
        <w:rPr>
          <w:rFonts w:ascii="仿宋" w:eastAsia="仿宋" w:hAnsi="仿宋" w:cs="仿宋"/>
        </w:rPr>
        <w:t>。主要原因是按政府会计制度后服公司收入应按收支净额列支（扣除从学校取得收入相应支出），后服经营收支基本平</w:t>
      </w:r>
      <w:r>
        <w:rPr>
          <w:rFonts w:ascii="仿宋" w:eastAsia="仿宋" w:hAnsi="仿宋" w:cs="仿宋"/>
        </w:rPr>
        <w:lastRenderedPageBreak/>
        <w:t>衡。</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w:t>
      </w:r>
      <w:r>
        <w:rPr>
          <w:rFonts w:ascii="仿宋" w:eastAsia="仿宋" w:hAnsi="仿宋" w:cs="仿宋"/>
        </w:rPr>
        <w:t>级补助收入</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1,760</w:t>
      </w:r>
      <w:r>
        <w:rPr>
          <w:rFonts w:ascii="仿宋" w:eastAsia="仿宋" w:hAnsi="仿宋" w:cs="仿宋"/>
        </w:rPr>
        <w:t>万元，与上年相比减少</w:t>
      </w:r>
      <w:r>
        <w:rPr>
          <w:rFonts w:ascii="仿宋" w:eastAsia="仿宋" w:hAnsi="仿宋" w:cs="仿宋"/>
        </w:rPr>
        <w:t>255</w:t>
      </w:r>
      <w:r>
        <w:rPr>
          <w:rFonts w:ascii="仿宋" w:eastAsia="仿宋" w:hAnsi="仿宋" w:cs="仿宋"/>
        </w:rPr>
        <w:t>万元，减少</w:t>
      </w:r>
      <w:r>
        <w:rPr>
          <w:rFonts w:ascii="仿宋" w:eastAsia="仿宋" w:hAnsi="仿宋" w:cs="仿宋"/>
        </w:rPr>
        <w:t>12.66%</w:t>
      </w:r>
      <w:r>
        <w:rPr>
          <w:rFonts w:ascii="仿宋" w:eastAsia="仿宋" w:hAnsi="仿宋" w:cs="仿宋"/>
        </w:rPr>
        <w:t>。主要原因是各类培训办班收入预算计入财政专户管理资金收入。</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70,561.91</w:t>
      </w:r>
      <w:r>
        <w:rPr>
          <w:rFonts w:ascii="仿宋" w:eastAsia="仿宋" w:hAnsi="仿宋" w:cs="仿宋"/>
          <w:b/>
        </w:rPr>
        <w:t>万元。包括：</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70,561.91</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）教育支出（类）支出</w:t>
      </w:r>
      <w:r>
        <w:rPr>
          <w:rFonts w:ascii="仿宋" w:eastAsia="仿宋" w:hAnsi="仿宋" w:cs="仿宋"/>
        </w:rPr>
        <w:t>54,695.91</w:t>
      </w:r>
      <w:r>
        <w:rPr>
          <w:rFonts w:ascii="仿宋" w:eastAsia="仿宋" w:hAnsi="仿宋" w:cs="仿宋"/>
        </w:rPr>
        <w:t>万元，主要用于我校人员支出、公用支出。与上年相比减少</w:t>
      </w:r>
      <w:r>
        <w:rPr>
          <w:rFonts w:ascii="仿宋" w:eastAsia="仿宋" w:hAnsi="仿宋" w:cs="仿宋"/>
        </w:rPr>
        <w:t>2,828.36</w:t>
      </w:r>
      <w:r>
        <w:rPr>
          <w:rFonts w:ascii="仿宋" w:eastAsia="仿宋" w:hAnsi="仿宋" w:cs="仿宋"/>
        </w:rPr>
        <w:t>万元，减少</w:t>
      </w:r>
      <w:r>
        <w:rPr>
          <w:rFonts w:ascii="仿宋" w:eastAsia="仿宋" w:hAnsi="仿宋" w:cs="仿宋"/>
        </w:rPr>
        <w:t>4.92%</w:t>
      </w:r>
      <w:r>
        <w:rPr>
          <w:rFonts w:ascii="仿宋" w:eastAsia="仿宋" w:hAnsi="仿宋" w:cs="仿宋"/>
        </w:rPr>
        <w:t>。主要原因是按政府会计制度后服公司收入应按收支净额列支（扣除从学校取得收入相应支出），后服经营收支基本平衡。</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4,780.03</w:t>
      </w:r>
      <w:r>
        <w:rPr>
          <w:rFonts w:ascii="仿宋" w:eastAsia="仿宋" w:hAnsi="仿宋" w:cs="仿宋"/>
        </w:rPr>
        <w:t>万元，主要用于基本养老保险缴费支出及职业年金缴费支出。与上年相比增加</w:t>
      </w:r>
      <w:r>
        <w:rPr>
          <w:rFonts w:ascii="仿宋" w:eastAsia="仿宋" w:hAnsi="仿宋" w:cs="仿宋"/>
        </w:rPr>
        <w:t>906.92</w:t>
      </w:r>
      <w:r>
        <w:rPr>
          <w:rFonts w:ascii="仿宋" w:eastAsia="仿宋" w:hAnsi="仿宋" w:cs="仿宋"/>
        </w:rPr>
        <w:t>万元，增长</w:t>
      </w:r>
      <w:r>
        <w:rPr>
          <w:rFonts w:ascii="仿宋" w:eastAsia="仿宋" w:hAnsi="仿宋" w:cs="仿宋"/>
        </w:rPr>
        <w:t>23.42%</w:t>
      </w:r>
      <w:r>
        <w:rPr>
          <w:rFonts w:ascii="仿宋" w:eastAsia="仿宋" w:hAnsi="仿宋" w:cs="仿宋"/>
        </w:rPr>
        <w:t>。主要原因是教职工人数增加，人员工资调整引起缴存基数增加。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11,085.97</w:t>
      </w:r>
      <w:r>
        <w:rPr>
          <w:rFonts w:ascii="仿宋" w:eastAsia="仿宋" w:hAnsi="仿宋" w:cs="仿宋"/>
        </w:rPr>
        <w:t>万元，主要用于</w:t>
      </w:r>
      <w:r>
        <w:rPr>
          <w:rFonts w:ascii="仿宋" w:eastAsia="仿宋" w:hAnsi="仿宋" w:cs="仿宋"/>
        </w:rPr>
        <w:t>住房公积金及提租补贴。与上年相比增加</w:t>
      </w:r>
      <w:r>
        <w:rPr>
          <w:rFonts w:ascii="仿宋" w:eastAsia="仿宋" w:hAnsi="仿宋" w:cs="仿宋"/>
        </w:rPr>
        <w:t>1,354.45</w:t>
      </w:r>
      <w:r>
        <w:rPr>
          <w:rFonts w:ascii="仿宋" w:eastAsia="仿宋" w:hAnsi="仿宋" w:cs="仿宋"/>
        </w:rPr>
        <w:t>万元，增长</w:t>
      </w:r>
      <w:r>
        <w:rPr>
          <w:rFonts w:ascii="仿宋" w:eastAsia="仿宋" w:hAnsi="仿宋" w:cs="仿宋"/>
        </w:rPr>
        <w:t>13.92%</w:t>
      </w:r>
      <w:r>
        <w:rPr>
          <w:rFonts w:ascii="仿宋" w:eastAsia="仿宋" w:hAnsi="仿宋" w:cs="仿宋"/>
        </w:rPr>
        <w:t>。主要原因是教职工人数增加，人员工资调整引起缴存基数增加。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江苏理工学院</w:t>
      </w:r>
      <w:r>
        <w:rPr>
          <w:rFonts w:ascii="仿宋" w:eastAsia="仿宋" w:hAnsi="仿宋" w:cs="仿宋"/>
        </w:rPr>
        <w:t>2023</w:t>
      </w:r>
      <w:r>
        <w:rPr>
          <w:rFonts w:ascii="仿宋" w:eastAsia="仿宋" w:hAnsi="仿宋" w:cs="仿宋"/>
        </w:rPr>
        <w:t>年收入预算合计</w:t>
      </w:r>
      <w:r>
        <w:rPr>
          <w:rFonts w:ascii="仿宋" w:eastAsia="仿宋" w:hAnsi="仿宋" w:cs="仿宋"/>
        </w:rPr>
        <w:t>70,561.91</w:t>
      </w:r>
      <w:r>
        <w:rPr>
          <w:rFonts w:ascii="仿宋" w:eastAsia="仿宋" w:hAnsi="仿宋" w:cs="仿宋"/>
        </w:rPr>
        <w:t>万元，包括本年收入</w:t>
      </w:r>
      <w:r>
        <w:rPr>
          <w:rFonts w:ascii="仿宋" w:eastAsia="仿宋" w:hAnsi="仿宋" w:cs="仿宋"/>
        </w:rPr>
        <w:t>70,561.91</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38,101.91</w:t>
      </w:r>
      <w:r>
        <w:rPr>
          <w:rFonts w:ascii="仿宋" w:eastAsia="仿宋" w:hAnsi="仿宋" w:cs="仿宋"/>
        </w:rPr>
        <w:t>万元，占</w:t>
      </w:r>
      <w:r>
        <w:rPr>
          <w:rFonts w:ascii="仿宋" w:eastAsia="仿宋" w:hAnsi="仿宋" w:cs="仿宋"/>
        </w:rPr>
        <w:t>54%</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18,700</w:t>
      </w:r>
      <w:r>
        <w:rPr>
          <w:rFonts w:ascii="仿宋" w:eastAsia="仿宋" w:hAnsi="仿宋" w:cs="仿宋"/>
        </w:rPr>
        <w:t>万元，占</w:t>
      </w:r>
      <w:r>
        <w:rPr>
          <w:rFonts w:ascii="仿宋" w:eastAsia="仿宋" w:hAnsi="仿宋" w:cs="仿宋"/>
        </w:rPr>
        <w:t>26.5%</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12,000</w:t>
      </w:r>
      <w:r>
        <w:rPr>
          <w:rFonts w:ascii="仿宋" w:eastAsia="仿宋" w:hAnsi="仿宋" w:cs="仿宋"/>
        </w:rPr>
        <w:t>万元，占</w:t>
      </w:r>
      <w:r>
        <w:rPr>
          <w:rFonts w:ascii="仿宋" w:eastAsia="仿宋" w:hAnsi="仿宋" w:cs="仿宋"/>
        </w:rPr>
        <w:t>17.01%</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1,760</w:t>
      </w:r>
      <w:r>
        <w:rPr>
          <w:rFonts w:ascii="仿宋" w:eastAsia="仿宋" w:hAnsi="仿宋" w:cs="仿宋"/>
        </w:rPr>
        <w:t>万元，占</w:t>
      </w:r>
      <w:r>
        <w:rPr>
          <w:rFonts w:ascii="仿宋" w:eastAsia="仿宋" w:hAnsi="仿宋" w:cs="仿宋"/>
        </w:rPr>
        <w:t>2.49%</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年支出预算合计</w:t>
      </w:r>
      <w:r>
        <w:rPr>
          <w:rFonts w:ascii="仿宋" w:eastAsia="仿宋" w:hAnsi="仿宋" w:cs="仿宋"/>
        </w:rPr>
        <w:t>70,561.91</w:t>
      </w:r>
      <w:r>
        <w:rPr>
          <w:rFonts w:ascii="仿宋" w:eastAsia="仿宋" w:hAnsi="仿宋" w:cs="仿宋"/>
        </w:rPr>
        <w:t>万元，其中：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67,341.91</w:t>
      </w:r>
      <w:r>
        <w:rPr>
          <w:rFonts w:ascii="仿宋" w:eastAsia="仿宋" w:hAnsi="仿宋" w:cs="仿宋"/>
        </w:rPr>
        <w:t>万元，占</w:t>
      </w:r>
      <w:r>
        <w:rPr>
          <w:rFonts w:ascii="仿宋" w:eastAsia="仿宋" w:hAnsi="仿宋" w:cs="仿宋"/>
        </w:rPr>
        <w:t>95.44%</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3,220</w:t>
      </w:r>
      <w:r>
        <w:rPr>
          <w:rFonts w:ascii="仿宋" w:eastAsia="仿宋" w:hAnsi="仿宋" w:cs="仿宋"/>
        </w:rPr>
        <w:t>万元，占</w:t>
      </w:r>
      <w:r>
        <w:rPr>
          <w:rFonts w:ascii="仿宋" w:eastAsia="仿宋" w:hAnsi="仿宋" w:cs="仿宋"/>
        </w:rPr>
        <w:t>4.56%</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A78E7" w:rsidRDefault="00A71678">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38,101.91</w:t>
      </w:r>
      <w:r>
        <w:rPr>
          <w:rFonts w:ascii="仿宋" w:eastAsia="仿宋" w:hAnsi="仿宋" w:cs="仿宋"/>
        </w:rPr>
        <w:t>万元。与上年相比，财政拨款收、支总计各增加</w:t>
      </w:r>
      <w:r>
        <w:rPr>
          <w:rFonts w:ascii="仿宋" w:eastAsia="仿宋" w:hAnsi="仿宋" w:cs="仿宋"/>
        </w:rPr>
        <w:t>2,068.01</w:t>
      </w:r>
      <w:r>
        <w:rPr>
          <w:rFonts w:ascii="仿宋" w:eastAsia="仿宋" w:hAnsi="仿宋" w:cs="仿宋"/>
        </w:rPr>
        <w:t>万元，增长</w:t>
      </w:r>
      <w:r>
        <w:rPr>
          <w:rFonts w:ascii="仿宋" w:eastAsia="仿宋" w:hAnsi="仿宋" w:cs="仿宋"/>
        </w:rPr>
        <w:t>5.74%</w:t>
      </w:r>
      <w:r>
        <w:rPr>
          <w:rFonts w:ascii="仿宋" w:eastAsia="仿宋" w:hAnsi="仿宋" w:cs="仿宋"/>
        </w:rPr>
        <w:t>。主要原因是学生人数增加、离退休人员补助增加及师范生补助专项经费增加等。</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w:t>
      </w:r>
      <w:r>
        <w:rPr>
          <w:rFonts w:ascii="仿宋" w:eastAsia="仿宋" w:hAnsi="仿宋" w:cs="仿宋"/>
          <w:b/>
        </w:rPr>
        <w:t>财政拨款支出预算情况说明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年财政拨款预算支出</w:t>
      </w:r>
      <w:r>
        <w:rPr>
          <w:rFonts w:ascii="仿宋" w:eastAsia="仿宋" w:hAnsi="仿宋" w:cs="仿宋"/>
        </w:rPr>
        <w:t>38,101.91</w:t>
      </w:r>
      <w:r>
        <w:rPr>
          <w:rFonts w:ascii="仿宋" w:eastAsia="仿宋" w:hAnsi="仿宋" w:cs="仿宋"/>
        </w:rPr>
        <w:t>万元，占本年支出合计的</w:t>
      </w:r>
      <w:r>
        <w:rPr>
          <w:rFonts w:ascii="仿宋" w:eastAsia="仿宋" w:hAnsi="仿宋" w:cs="仿宋"/>
        </w:rPr>
        <w:t>54%</w:t>
      </w:r>
      <w:r>
        <w:rPr>
          <w:rFonts w:ascii="仿宋" w:eastAsia="仿宋" w:hAnsi="仿宋" w:cs="仿宋"/>
        </w:rPr>
        <w:t>。与上年相比，财政拨款支出增加</w:t>
      </w:r>
      <w:r>
        <w:rPr>
          <w:rFonts w:ascii="仿宋" w:eastAsia="仿宋" w:hAnsi="仿宋" w:cs="仿宋"/>
        </w:rPr>
        <w:t>2,068.01</w:t>
      </w:r>
      <w:r>
        <w:rPr>
          <w:rFonts w:ascii="仿宋" w:eastAsia="仿宋" w:hAnsi="仿宋" w:cs="仿宋"/>
        </w:rPr>
        <w:t>万元，增长</w:t>
      </w:r>
      <w:r>
        <w:rPr>
          <w:rFonts w:ascii="仿宋" w:eastAsia="仿宋" w:hAnsi="仿宋" w:cs="仿宋"/>
        </w:rPr>
        <w:t>5.74%</w:t>
      </w:r>
      <w:r>
        <w:rPr>
          <w:rFonts w:ascii="仿宋" w:eastAsia="仿宋" w:hAnsi="仿宋" w:cs="仿宋"/>
        </w:rPr>
        <w:t>。主要原因是人员支出、专项支出和教学支出增加。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（一）教育支出（类）</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普通教育（款）高等教育（项）支出</w:t>
      </w:r>
      <w:r>
        <w:rPr>
          <w:rFonts w:ascii="仿宋" w:eastAsia="仿宋" w:hAnsi="仿宋" w:cs="仿宋"/>
        </w:rPr>
        <w:t>33,283.95</w:t>
      </w:r>
      <w:r>
        <w:rPr>
          <w:rFonts w:ascii="仿宋" w:eastAsia="仿宋" w:hAnsi="仿宋" w:cs="仿宋"/>
        </w:rPr>
        <w:t>万元，与上年相比增加</w:t>
      </w:r>
      <w:r>
        <w:rPr>
          <w:rFonts w:ascii="仿宋" w:eastAsia="仿宋" w:hAnsi="仿宋" w:cs="仿宋"/>
        </w:rPr>
        <w:t>2,065.15</w:t>
      </w:r>
      <w:r>
        <w:rPr>
          <w:rFonts w:ascii="仿宋" w:eastAsia="仿宋" w:hAnsi="仿宋" w:cs="仿宋"/>
        </w:rPr>
        <w:t>万元，增长</w:t>
      </w:r>
      <w:r>
        <w:rPr>
          <w:rFonts w:ascii="仿宋" w:eastAsia="仿宋" w:hAnsi="仿宋" w:cs="仿宋"/>
        </w:rPr>
        <w:t>6.62%</w:t>
      </w:r>
      <w:r>
        <w:rPr>
          <w:rFonts w:ascii="仿宋" w:eastAsia="仿宋" w:hAnsi="仿宋" w:cs="仿宋"/>
        </w:rPr>
        <w:t>。主要原因是人员支出增加</w:t>
      </w:r>
      <w:r>
        <w:rPr>
          <w:rFonts w:ascii="仿宋" w:eastAsia="仿宋" w:hAnsi="仿宋" w:cs="仿宋"/>
        </w:rPr>
        <w:lastRenderedPageBreak/>
        <w:t>1744.39</w:t>
      </w:r>
      <w:r>
        <w:rPr>
          <w:rFonts w:ascii="仿宋" w:eastAsia="仿宋" w:hAnsi="仿宋" w:cs="仿宋"/>
        </w:rPr>
        <w:t>万元，公用经费减少</w:t>
      </w:r>
      <w:r>
        <w:rPr>
          <w:rFonts w:ascii="仿宋" w:eastAsia="仿宋" w:hAnsi="仿宋" w:cs="仿宋"/>
        </w:rPr>
        <w:t>1869.24</w:t>
      </w:r>
      <w:r>
        <w:rPr>
          <w:rFonts w:ascii="仿宋" w:eastAsia="仿宋" w:hAnsi="仿宋" w:cs="仿宋"/>
        </w:rPr>
        <w:t>万元，项目支出增加</w:t>
      </w:r>
      <w:r>
        <w:rPr>
          <w:rFonts w:ascii="仿宋" w:eastAsia="仿宋" w:hAnsi="仿宋" w:cs="仿宋"/>
        </w:rPr>
        <w:t>2190</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行政事业单位养老支出（款）机关事业单位基本养老保险缴费支出（项）支出</w:t>
      </w:r>
      <w:r>
        <w:rPr>
          <w:rFonts w:ascii="仿宋" w:eastAsia="仿宋" w:hAnsi="仿宋" w:cs="仿宋"/>
        </w:rPr>
        <w:t>1,843.76</w:t>
      </w:r>
      <w:r>
        <w:rPr>
          <w:rFonts w:ascii="仿宋" w:eastAsia="仿宋" w:hAnsi="仿宋" w:cs="仿宋"/>
        </w:rPr>
        <w:t>万元，与上年相比减少</w:t>
      </w:r>
      <w:r>
        <w:rPr>
          <w:rFonts w:ascii="仿宋" w:eastAsia="仿宋" w:hAnsi="仿宋" w:cs="仿宋"/>
        </w:rPr>
        <w:t>729.35</w:t>
      </w:r>
      <w:r>
        <w:rPr>
          <w:rFonts w:ascii="仿宋" w:eastAsia="仿宋" w:hAnsi="仿宋" w:cs="仿宋"/>
        </w:rPr>
        <w:t>万元，减少</w:t>
      </w:r>
      <w:r>
        <w:rPr>
          <w:rFonts w:ascii="仿宋" w:eastAsia="仿宋" w:hAnsi="仿宋" w:cs="仿宋"/>
        </w:rPr>
        <w:t>28.35%</w:t>
      </w:r>
      <w:r>
        <w:rPr>
          <w:rFonts w:ascii="仿宋" w:eastAsia="仿宋" w:hAnsi="仿宋" w:cs="仿宋"/>
        </w:rPr>
        <w:t>。主要原因是根据规定，非编人员基本养老保险缴费由非财政资金安排。</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行政事业单位养老支出（款）机关事业单位职业年金缴费支出（项）支出</w:t>
      </w:r>
      <w:r>
        <w:rPr>
          <w:rFonts w:ascii="仿宋" w:eastAsia="仿宋" w:hAnsi="仿宋" w:cs="仿宋"/>
        </w:rPr>
        <w:t>1,938.84</w:t>
      </w:r>
      <w:r>
        <w:rPr>
          <w:rFonts w:ascii="仿宋" w:eastAsia="仿宋" w:hAnsi="仿宋" w:cs="仿宋"/>
        </w:rPr>
        <w:t>万元，与上年相比增加</w:t>
      </w:r>
      <w:r>
        <w:rPr>
          <w:rFonts w:ascii="仿宋" w:eastAsia="仿宋" w:hAnsi="仿宋" w:cs="仿宋"/>
        </w:rPr>
        <w:t>638.84</w:t>
      </w:r>
      <w:r>
        <w:rPr>
          <w:rFonts w:ascii="仿宋" w:eastAsia="仿宋" w:hAnsi="仿宋" w:cs="仿宋"/>
        </w:rPr>
        <w:t>万元，增长</w:t>
      </w:r>
      <w:r>
        <w:rPr>
          <w:rFonts w:ascii="仿宋" w:eastAsia="仿宋" w:hAnsi="仿宋" w:cs="仿宋"/>
        </w:rPr>
        <w:t>49.14%</w:t>
      </w:r>
      <w:r>
        <w:rPr>
          <w:rFonts w:ascii="仿宋" w:eastAsia="仿宋" w:hAnsi="仿宋" w:cs="仿宋"/>
        </w:rPr>
        <w:t>。主要原因是教职工人数增加，人员工资调整引起的缴存基数提高。</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（三）住房保障支出（类）</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住房改革支出（款）提租补贴（项）支出</w:t>
      </w:r>
      <w:r>
        <w:rPr>
          <w:rFonts w:ascii="仿宋" w:eastAsia="仿宋" w:hAnsi="仿宋" w:cs="仿宋"/>
        </w:rPr>
        <w:t>1,035.36</w:t>
      </w:r>
      <w:r>
        <w:rPr>
          <w:rFonts w:ascii="仿宋" w:eastAsia="仿宋" w:hAnsi="仿宋" w:cs="仿宋"/>
        </w:rPr>
        <w:t>万元，与上年相比增加</w:t>
      </w:r>
      <w:r>
        <w:rPr>
          <w:rFonts w:ascii="仿宋" w:eastAsia="仿宋" w:hAnsi="仿宋" w:cs="仿宋"/>
        </w:rPr>
        <w:t>93.</w:t>
      </w:r>
      <w:r>
        <w:rPr>
          <w:rFonts w:ascii="仿宋" w:eastAsia="仿宋" w:hAnsi="仿宋" w:cs="仿宋"/>
        </w:rPr>
        <w:t>37</w:t>
      </w:r>
      <w:r>
        <w:rPr>
          <w:rFonts w:ascii="仿宋" w:eastAsia="仿宋" w:hAnsi="仿宋" w:cs="仿宋"/>
        </w:rPr>
        <w:t>万元，增长</w:t>
      </w:r>
      <w:r>
        <w:rPr>
          <w:rFonts w:ascii="仿宋" w:eastAsia="仿宋" w:hAnsi="仿宋" w:cs="仿宋"/>
        </w:rPr>
        <w:t>9.91%</w:t>
      </w:r>
      <w:r>
        <w:rPr>
          <w:rFonts w:ascii="仿宋" w:eastAsia="仿宋" w:hAnsi="仿宋" w:cs="仿宋"/>
        </w:rPr>
        <w:t>。主要原因是教职工人数增加，人员工资调整引起缴存基数增加。</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35,301.91</w:t>
      </w:r>
      <w:r>
        <w:rPr>
          <w:rFonts w:ascii="仿宋" w:eastAsia="仿宋" w:hAnsi="仿宋" w:cs="仿宋"/>
        </w:rPr>
        <w:t>万元，其中：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30,441.91</w:t>
      </w:r>
      <w:r>
        <w:rPr>
          <w:rFonts w:ascii="仿宋" w:eastAsia="仿宋" w:hAnsi="仿宋" w:cs="仿宋"/>
        </w:rPr>
        <w:t>万元。主要包括：基本工资、津贴补贴、绩效工资、机关事业单位基本养老保险缴费、职业年金缴费、其他社会保障缴费、离休费、退休费、医疗费补助。</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4,860</w:t>
      </w:r>
      <w:r>
        <w:rPr>
          <w:rFonts w:ascii="仿宋" w:eastAsia="仿宋" w:hAnsi="仿宋" w:cs="仿宋"/>
        </w:rPr>
        <w:t>万元。主要包括：办公费、印刷费、咨询费、手续费、水费、电费、邮电费、物业管理费、差旅费、维修</w:t>
      </w:r>
      <w:r>
        <w:rPr>
          <w:rFonts w:ascii="仿宋" w:eastAsia="仿宋" w:hAnsi="仿宋" w:cs="仿宋"/>
        </w:rPr>
        <w:lastRenderedPageBreak/>
        <w:t>（护）费、专用材料费、工会经费、福利费、其他商品和服务支出。</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38,101.91</w:t>
      </w:r>
      <w:r>
        <w:rPr>
          <w:rFonts w:ascii="仿宋" w:eastAsia="仿宋" w:hAnsi="仿宋" w:cs="仿宋"/>
        </w:rPr>
        <w:t>万元，与上年相比增加</w:t>
      </w:r>
      <w:r>
        <w:rPr>
          <w:rFonts w:ascii="仿宋" w:eastAsia="仿宋" w:hAnsi="仿宋" w:cs="仿宋"/>
        </w:rPr>
        <w:t>2,068.01</w:t>
      </w:r>
      <w:r>
        <w:rPr>
          <w:rFonts w:ascii="仿宋" w:eastAsia="仿宋" w:hAnsi="仿宋" w:cs="仿宋"/>
        </w:rPr>
        <w:t>万元，增长</w:t>
      </w:r>
      <w:r>
        <w:rPr>
          <w:rFonts w:ascii="仿宋" w:eastAsia="仿宋" w:hAnsi="仿宋" w:cs="仿宋"/>
        </w:rPr>
        <w:t>5.74%</w:t>
      </w:r>
      <w:r>
        <w:rPr>
          <w:rFonts w:ascii="仿宋" w:eastAsia="仿宋" w:hAnsi="仿宋" w:cs="仿宋"/>
        </w:rPr>
        <w:t>。主要原因是学生人数增加、离退休人员补助增加及师范生补助专项经费增加等。</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35,3</w:t>
      </w:r>
      <w:r>
        <w:rPr>
          <w:rFonts w:ascii="仿宋" w:eastAsia="仿宋" w:hAnsi="仿宋" w:cs="仿宋"/>
        </w:rPr>
        <w:t>01.91</w:t>
      </w:r>
      <w:r>
        <w:rPr>
          <w:rFonts w:ascii="仿宋" w:eastAsia="仿宋" w:hAnsi="仿宋" w:cs="仿宋"/>
        </w:rPr>
        <w:t>万元，其中：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30,441.91</w:t>
      </w:r>
      <w:r>
        <w:rPr>
          <w:rFonts w:ascii="仿宋" w:eastAsia="仿宋" w:hAnsi="仿宋" w:cs="仿宋"/>
        </w:rPr>
        <w:t>万元。主要包括：基本工资、津贴补贴、绩效工资、机关事业单位基本养老保险缴费、职业年金缴费、其他社会保障缴费、离休费、退休费、医疗费补助。</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4,860</w:t>
      </w:r>
      <w:r>
        <w:rPr>
          <w:rFonts w:ascii="仿宋" w:eastAsia="仿宋" w:hAnsi="仿宋" w:cs="仿宋"/>
        </w:rPr>
        <w:t>万元。主要包括：办公费、印刷费、咨询费、手续费、水费、电费、邮电费、物业管理费、差旅费、维修（护）费、专用材料费、工会经费、福利费、其他商品和服务支出。</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w:t>
      </w:r>
      <w:r>
        <w:rPr>
          <w:rFonts w:ascii="仿宋" w:eastAsia="仿宋" w:hAnsi="仿宋" w:cs="仿宋"/>
        </w:rPr>
        <w:t>（境）费支出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。具体情况如</w:t>
      </w:r>
      <w:r>
        <w:rPr>
          <w:rFonts w:ascii="仿宋" w:eastAsia="仿宋" w:hAnsi="仿宋" w:cs="仿宋"/>
        </w:rPr>
        <w:lastRenderedPageBreak/>
        <w:t>下：</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万元，与上年预算数</w:t>
      </w:r>
      <w:r>
        <w:rPr>
          <w:rFonts w:ascii="仿宋" w:eastAsia="仿宋" w:hAnsi="仿宋" w:cs="仿宋"/>
        </w:rPr>
        <w:t>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江苏理工学院</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年本单位一般公共预算机关运行经费预算支出</w:t>
      </w:r>
      <w:r>
        <w:rPr>
          <w:rFonts w:ascii="仿宋" w:eastAsia="仿宋" w:hAnsi="仿宋" w:cs="仿宋"/>
        </w:rPr>
        <w:t>0</w:t>
      </w:r>
      <w:r>
        <w:rPr>
          <w:rFonts w:ascii="仿宋" w:eastAsia="仿宋" w:hAnsi="仿宋" w:cs="仿宋"/>
        </w:rPr>
        <w:t>万元。与上年预算数相同。</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100</w:t>
      </w:r>
      <w:r>
        <w:rPr>
          <w:rFonts w:ascii="仿宋" w:eastAsia="仿宋" w:hAnsi="仿宋" w:cs="仿宋"/>
        </w:rPr>
        <w:t>万元，其中：拟采购货物支出</w:t>
      </w:r>
      <w:r>
        <w:rPr>
          <w:rFonts w:ascii="仿宋" w:eastAsia="仿宋" w:hAnsi="仿宋" w:cs="仿宋"/>
        </w:rPr>
        <w:t>100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十四、国有资产占用情况说明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2</w:t>
      </w:r>
      <w:r>
        <w:rPr>
          <w:rFonts w:ascii="仿宋" w:eastAsia="仿宋" w:hAnsi="仿宋" w:cs="仿宋"/>
        </w:rPr>
        <w:t>辆，其中，一般公务用车</w:t>
      </w:r>
      <w:r>
        <w:rPr>
          <w:rFonts w:ascii="仿宋" w:eastAsia="仿宋" w:hAnsi="仿宋" w:cs="仿宋"/>
        </w:rPr>
        <w:t>2</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辆、业务用车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辆等。单价</w:t>
      </w:r>
      <w:r>
        <w:rPr>
          <w:rFonts w:ascii="仿宋" w:eastAsia="仿宋" w:hAnsi="仿宋" w:cs="仿宋"/>
        </w:rPr>
        <w:t>100</w:t>
      </w:r>
      <w:r>
        <w:rPr>
          <w:rFonts w:ascii="仿宋" w:eastAsia="仿宋" w:hAnsi="仿宋" w:cs="仿宋"/>
        </w:rPr>
        <w:t>万元（含）以上的设备</w:t>
      </w:r>
      <w:r>
        <w:rPr>
          <w:rFonts w:ascii="仿宋" w:eastAsia="仿宋" w:hAnsi="仿宋" w:cs="仿宋"/>
        </w:rPr>
        <w:t>25</w:t>
      </w:r>
      <w:r>
        <w:rPr>
          <w:rFonts w:ascii="仿宋" w:eastAsia="仿宋" w:hAnsi="仿宋" w:cs="仿宋"/>
        </w:rPr>
        <w:t>台（不含车辆）。</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EA78E7" w:rsidRDefault="00A71678">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年度，本单位整体支出纳入绩效目标管理，涉及财政性资金</w:t>
      </w:r>
      <w:r>
        <w:rPr>
          <w:rFonts w:ascii="仿宋" w:eastAsia="仿宋" w:hAnsi="仿宋" w:cs="仿宋"/>
        </w:rPr>
        <w:t>70,561.91</w:t>
      </w:r>
      <w:r>
        <w:rPr>
          <w:rFonts w:ascii="仿宋" w:eastAsia="仿宋" w:hAnsi="仿宋" w:cs="仿宋"/>
        </w:rPr>
        <w:t>万元；本单位共</w:t>
      </w:r>
      <w:r>
        <w:rPr>
          <w:rFonts w:ascii="仿宋" w:eastAsia="仿宋" w:hAnsi="仿宋" w:cs="仿宋"/>
        </w:rPr>
        <w:t>4</w:t>
      </w:r>
      <w:r>
        <w:rPr>
          <w:rFonts w:ascii="仿宋" w:eastAsia="仿宋" w:hAnsi="仿宋" w:cs="仿宋"/>
        </w:rPr>
        <w:t>个项目纳入绩效目标管理，涉及财政性资金合计</w:t>
      </w:r>
      <w:r>
        <w:rPr>
          <w:rFonts w:ascii="仿宋" w:eastAsia="仿宋" w:hAnsi="仿宋" w:cs="仿宋"/>
        </w:rPr>
        <w:t>2,300</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3.26%</w:t>
      </w:r>
      <w:r>
        <w:rPr>
          <w:rFonts w:ascii="仿宋" w:eastAsia="仿宋" w:hAnsi="仿宋" w:cs="仿宋"/>
        </w:rPr>
        <w:t>。</w:t>
      </w:r>
    </w:p>
    <w:p w:rsidR="00EA78E7" w:rsidRDefault="00A71678">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EA78E7" w:rsidRDefault="00EA78E7">
      <w:pPr>
        <w:pStyle w:val="a4"/>
        <w:tabs>
          <w:tab w:val="left" w:pos="3864"/>
          <w:tab w:val="left" w:pos="6248"/>
          <w:tab w:val="left" w:pos="7386"/>
        </w:tabs>
        <w:ind w:leftChars="200" w:left="440" w:firstLineChars="206" w:firstLine="659"/>
        <w:jc w:val="both"/>
        <w:rPr>
          <w:rFonts w:ascii="仿宋" w:eastAsia="仿宋" w:hAnsi="仿宋" w:cs="仿宋"/>
        </w:rPr>
      </w:pP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w:t>
      </w:r>
      <w:r>
        <w:rPr>
          <w:rFonts w:ascii="仿宋" w:eastAsia="仿宋" w:hAnsi="仿宋" w:cs="仿宋" w:hint="eastAsia"/>
        </w:rPr>
        <w:lastRenderedPageBreak/>
        <w:t>发展目标所发生的支出。</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w:t>
      </w:r>
      <w:r>
        <w:rPr>
          <w:rFonts w:ascii="仿宋" w:eastAsia="仿宋" w:hAnsi="仿宋" w:cs="仿宋" w:hint="eastAsia"/>
        </w:rPr>
        <w:t>等支出；公务用车购置及运行维护费反映单位公务用车购置费、燃料费、维修费、过路过桥费、保险费、安全奖励费用等支出；公务接待费反映单位按规定开支的各类公务接待（含外宾接待）支出。</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普通教育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高等教育</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w:t>
      </w:r>
      <w:r>
        <w:rPr>
          <w:rFonts w:ascii="仿宋" w:eastAsia="仿宋" w:hAnsi="仿宋" w:cs="仿宋" w:hint="eastAsia"/>
        </w:rPr>
        <w:t>映各部门举办的普通本科（包括研究生）教育支出。政府各部门对社会组织等举办的普通本科高等院校（包括研究生）的资助，如捐赠、补贴等，也在本科目中反映。</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十一、住房保障支出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EA78E7" w:rsidRDefault="00A71678">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EA78E7">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678" w:rsidRDefault="00A71678">
      <w:r>
        <w:separator/>
      </w:r>
    </w:p>
  </w:endnote>
  <w:endnote w:type="continuationSeparator" w:id="0">
    <w:p w:rsidR="00A71678" w:rsidRDefault="00A7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Unicode MS">
    <w:altName w:val="微软雅黑"/>
    <w:panose1 w:val="020B0604020202020204"/>
    <w:charset w:val="86"/>
    <w:family w:val="roman"/>
    <w:pitch w:val="default"/>
    <w:sig w:usb0="00000000" w:usb1="00000000" w:usb2="0000003F" w:usb3="00000000" w:csb0="603F01FF" w:csb1="FFFF0000"/>
  </w:font>
  <w:font w:name="Times New Roman">
    <w:panose1 w:val="02020603050405020304"/>
    <w:charset w:val="00"/>
    <w:family w:val="roman"/>
    <w:pitch w:val="variable"/>
    <w:sig w:usb0="E0002AFF" w:usb1="C0007841" w:usb2="00000009" w:usb3="00000000" w:csb0="000001FF" w:csb1="00000000"/>
  </w:font>
  <w:font w:name="Liberation Sans">
    <w:altName w:val="微软雅黑"/>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微软雅黑"/>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0</wp:posOffset>
              </wp:positionV>
              <wp:extent cx="286385" cy="147955"/>
              <wp:effectExtent l="0" t="0" r="0" b="0"/>
              <wp:wrapNone/>
              <wp:docPr id="1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81655">
                            <w:rPr>
                              <w:rFonts w:ascii="黑体" w:eastAsia="黑体" w:hAnsi="黑体" w:cs="黑体"/>
                              <w:noProof/>
                            </w:rPr>
                            <w:t>- 1 -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22.55pt;height:11.65pt;z-index:2516510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" filled="f" stroked="f">
              <v:textbox style="mso-fit-shape-to-text:t" inset="0,0,0,0">
                <w:txbxContent>
                  <w:p w:rsidR="00EA78E7" w:rsidRDefault="00A7167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81655">
                      <w:rPr>
                        <w:rFonts w:ascii="黑体" w:eastAsia="黑体" w:hAnsi="黑体" w:cs="黑体"/>
                        <w:noProof/>
                      </w:rPr>
                      <w:t>- 1 -</w:t>
                    </w:r>
                    <w:r>
                      <w:rPr>
                        <w:rFonts w:ascii="黑体" w:eastAsia="黑体" w:hAnsi="黑体" w:cs="黑体"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0990" cy="196215"/>
              <wp:effectExtent l="0" t="0" r="0" b="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- 31 -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35" type="#_x0000_t202" style="position:absolute;left:0;text-align:left;margin-left:0;margin-top:0;width:23.7pt;height:15.4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- 31 -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0990" cy="196215"/>
              <wp:effectExtent l="0" t="0" r="0" b="0"/>
              <wp:wrapNone/>
              <wp:docPr id="6"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3" o:spid="_x0000_s1036" type="#_x0000_t202" style="position:absolute;left:0;text-align:left;margin-left:0;margin-top:0;width:23.7pt;height:15.4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- 32 -</w:t>
                    </w:r>
                    <w:r>
                      <w:rPr>
                        <w:rFonts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0990" cy="196215"/>
              <wp:effectExtent l="0" t="0" r="0" b="0"/>
              <wp:wrapNone/>
              <wp:docPr id="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4" o:spid="_x0000_s1037" type="#_x0000_t202" style="position:absolute;left:0;text-align:left;margin-left:0;margin-top:0;width:23.7pt;height:15.4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- 34 -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00990" cy="196215"/>
              <wp:effectExtent l="0" t="0" r="0" b="0"/>
              <wp:wrapNone/>
              <wp:docPr id="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5" o:spid="_x0000_s1038" type="#_x0000_t202" style="position:absolute;left:0;text-align:left;margin-left:0;margin-top:0;width:23.7pt;height:15.4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- 35 -</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00990" cy="196215"/>
              <wp:effectExtent l="0" t="0" r="0" b="0"/>
              <wp:wrapNone/>
              <wp:docPr id="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- 47 -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6" o:spid="_x0000_s1039" type="#_x0000_t202" style="position:absolute;left:0;text-align:left;margin-left:0;margin-top:0;width:23.7pt;height:15.4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- 47 -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rPr>
        <w:rFonts w:ascii="黑体" w:eastAsia="黑体" w:hAnsi="黑体" w:cs="黑体"/>
      </w:rPr>
    </w:pPr>
    <w:r>
      <w:rPr>
        <w:rFonts w:ascii="黑体" w:eastAsia="黑体" w:hAnsi="黑体" w:cs="黑体"/>
        <w:noProof/>
        <w:lang w:val="en-US" w:bidi="ar-SA"/>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81655">
                            <w:rPr>
                              <w:rFonts w:ascii="黑体" w:eastAsia="黑体" w:hAnsi="黑体" w:cs="黑体"/>
                              <w:noProof/>
                            </w:rPr>
                            <w:t>- 2 -</w:t>
                          </w:r>
                          <w:r>
                            <w:rPr>
                              <w:rFonts w:ascii="黑体" w:eastAsia="黑体" w:hAnsi="黑体" w:cs="黑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1" o:spid="_x0000_s1027" type="#_x0000_t202" style="position:absolute;left:0;text-align:left;margin-left:0;margin-top:0;width:22.55pt;height:11.65pt;z-index:2516520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" filled="f" stroked="f">
              <v:textbox style="mso-fit-shape-to-text:t" inset="0,0,0,0">
                <w:txbxContent>
                  <w:p w:rsidR="00EA78E7" w:rsidRDefault="00A71678">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81655">
                      <w:rPr>
                        <w:rFonts w:ascii="黑体" w:eastAsia="黑体" w:hAnsi="黑体" w:cs="黑体"/>
                        <w:noProof/>
                      </w:rPr>
                      <w:t>- 2 -</w:t>
                    </w:r>
                    <w:r>
                      <w:rPr>
                        <w:rFonts w:ascii="黑体" w:eastAsia="黑体" w:hAnsi="黑体" w:cs="黑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300990" cy="196215"/>
              <wp:effectExtent l="0" t="0" r="0" b="0"/>
              <wp:wrapNone/>
              <wp:docPr id="14"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9" o:spid="_x0000_s1028" type="#_x0000_t202" style="position:absolute;left:0;text-align:left;margin-left:0;margin-top:0;width:23.7pt;height:15.45pt;z-index:2516531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- 22 -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300990" cy="196215"/>
              <wp:effectExtent l="0" t="0" r="0" b="0"/>
              <wp:wrapNone/>
              <wp:docPr id="13"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- 24 -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0" o:spid="_x0000_s1029" type="#_x0000_t202" style="position:absolute;left:0;text-align:left;margin-left:0;margin-top:0;width:23.7pt;height:15.45pt;z-index:25165414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- 24 -</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300990" cy="196215"/>
              <wp:effectExtent l="0" t="0" r="0" b="0"/>
              <wp:wrapNone/>
              <wp:docPr id="1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30" type="#_x0000_t202" style="position:absolute;left:0;text-align:left;margin-left:0;margin-top:0;width:23.7pt;height:15.45pt;z-index:2516551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- 25 -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300990" cy="196215"/>
              <wp:effectExtent l="0" t="0" r="0" b="0"/>
              <wp:wrapNone/>
              <wp:docPr id="1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- 27 -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31" type="#_x0000_t202" style="position:absolute;left:0;text-align:left;margin-left:0;margin-top:0;width:23.7pt;height:15.4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- 27 -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00990" cy="196215"/>
              <wp:effectExtent l="0" t="0" r="0" b="0"/>
              <wp:wrapNone/>
              <wp:docPr id="10"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- 28 -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9" o:spid="_x0000_s1032" type="#_x0000_t202" style="position:absolute;left:0;text-align:left;margin-left:0;margin-top:0;width:23.7pt;height:15.4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- 28 -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0990" cy="196215"/>
              <wp:effectExtent l="0" t="0" r="0" b="0"/>
              <wp:wrapNone/>
              <wp:docPr id="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- 29 -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0" o:spid="_x0000_s1033" type="#_x0000_t202" style="position:absolute;left:0;text-align:left;margin-left:0;margin-top:0;width:23.7pt;height:15.4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- 29 -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F81655">
    <w:pPr>
      <w:pStyle w:val="a5"/>
      <w:jc w:val="cente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0990" cy="196215"/>
              <wp:effectExtent l="0" t="0" r="0" b="0"/>
              <wp:wrapNone/>
              <wp:docPr id="8"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- 30 -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1" o:spid="_x0000_s1034" type="#_x0000_t202" style="position:absolute;left:0;text-align:left;margin-left:0;margin-top:0;width:23.7pt;height:15.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" filled="f" stroked="f">
              <v:textbox style="mso-fit-shape-to-text:t" inset="0,0,0,0">
                <w:txbxContent>
                  <w:p w:rsidR="00EA78E7" w:rsidRDefault="00A71678">
                    <w:pPr>
                      <w:pStyle w:val="a5"/>
                    </w:pPr>
                    <w:r>
                      <w:rPr>
                        <w:rFonts w:hint="eastAsia"/>
                      </w:rPr>
                      <w:fldChar w:fldCharType="begin"/>
                    </w:r>
                    <w:r>
                      <w:rPr>
                        <w:rFonts w:hint="eastAsia"/>
                      </w:rPr>
                      <w:instrText xml:space="preserve"> PAGE  \* MERGEFORMAT </w:instrText>
                    </w:r>
                    <w:r>
                      <w:rPr>
                        <w:rFonts w:hint="eastAsia"/>
                      </w:rPr>
                      <w:fldChar w:fldCharType="separate"/>
                    </w:r>
                    <w:r w:rsidR="00F81655">
                      <w:rPr>
                        <w:noProof/>
                      </w:rPr>
                      <w:t>- 30 -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678" w:rsidRDefault="00A71678">
      <w:r>
        <w:separator/>
      </w:r>
    </w:p>
  </w:footnote>
  <w:footnote w:type="continuationSeparator" w:id="0">
    <w:p w:rsidR="00A71678" w:rsidRDefault="00A7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A71678">
    <w:pPr>
      <w:pStyle w:val="a6"/>
      <w:pBdr>
        <w:bottom w:val="single" w:sz="4" w:space="1" w:color="000000"/>
      </w:pBdr>
      <w:jc w:val="both"/>
      <w:rPr>
        <w:lang w:val="en-US"/>
      </w:rPr>
    </w:pPr>
    <w:r>
      <w:rPr>
        <w:rFonts w:hint="eastAsia"/>
        <w:lang w:val="en-US"/>
      </w:rPr>
      <w:t>江苏理工学院</w:t>
    </w:r>
    <w:r>
      <w:t>2023</w:t>
    </w:r>
    <w:r>
      <w:t>年度单位预算公开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E7" w:rsidRDefault="00EA78E7">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wNWYwNGFmYzNiMTMwMzI4MzFhMzI2ZWRjOTFjMmMifQ=="/>
  </w:docVars>
  <w:rsids>
    <w:rsidRoot w:val="00EA78E7"/>
    <w:rsid w:val="DBEED555"/>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A71678"/>
    <w:rsid w:val="00BD7F33"/>
    <w:rsid w:val="00C15920"/>
    <w:rsid w:val="00C35C3A"/>
    <w:rsid w:val="00C82582"/>
    <w:rsid w:val="00EA78E7"/>
    <w:rsid w:val="00F12F06"/>
    <w:rsid w:val="00F81655"/>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27C495-C2B7-426C-B27D-49647D9F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3452</Words>
  <Characters>19678</Characters>
  <Application>Microsoft Office Word</Application>
  <DocSecurity>0</DocSecurity>
  <Lines>163</Lines>
  <Paragraphs>46</Paragraphs>
  <ScaleCrop>false</ScaleCrop>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Administrator</cp:lastModifiedBy>
  <cp:revision>2</cp:revision>
  <dcterms:created xsi:type="dcterms:W3CDTF">2023-09-03T07:37:00Z</dcterms:created>
  <dcterms:modified xsi:type="dcterms:W3CDTF">2023-09-03T07:37:00Z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